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3A253A" w:rsidRPr="007D7E0B" w:rsidTr="00AB72E0">
        <w:tc>
          <w:tcPr>
            <w:tcW w:w="8525" w:type="dxa"/>
            <w:gridSpan w:val="2"/>
            <w:tcBorders>
              <w:bottom w:val="single" w:sz="18" w:space="0" w:color="auto"/>
            </w:tcBorders>
          </w:tcPr>
          <w:p w:rsidR="003A253A" w:rsidRDefault="003A253A" w:rsidP="00AB72E0">
            <w:pPr>
              <w:pStyle w:val="Infotext"/>
              <w:rPr>
                <w:rFonts w:ascii="Arial Black" w:hAnsi="Arial Black"/>
                <w:color w:val="999999"/>
                <w:sz w:val="36"/>
                <w:szCs w:val="36"/>
              </w:rPr>
            </w:pPr>
          </w:p>
          <w:p w:rsidR="003A253A" w:rsidRDefault="00CB373D" w:rsidP="00AB72E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DCC87D4" wp14:editId="4A838690">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3A253A" w:rsidRDefault="003A253A" w:rsidP="00AB72E0">
            <w:pPr>
              <w:pStyle w:val="Infotext"/>
              <w:rPr>
                <w:rFonts w:ascii="Arial Black" w:hAnsi="Arial Black" w:cs="Arial"/>
                <w:sz w:val="36"/>
                <w:szCs w:val="36"/>
              </w:rPr>
            </w:pPr>
          </w:p>
        </w:tc>
      </w:tr>
      <w:tr w:rsidR="006A233E">
        <w:tc>
          <w:tcPr>
            <w:tcW w:w="3474" w:type="dxa"/>
            <w:tcBorders>
              <w:bottom w:val="single" w:sz="18" w:space="0" w:color="auto"/>
            </w:tcBorders>
          </w:tcPr>
          <w:p w:rsidR="006A233E" w:rsidRPr="00911565" w:rsidRDefault="00911565">
            <w:pPr>
              <w:pStyle w:val="Infotext"/>
              <w:rPr>
                <w:rFonts w:ascii="Arial Black" w:hAnsi="Arial Black"/>
                <w:color w:val="999999"/>
                <w:sz w:val="36"/>
                <w:szCs w:val="36"/>
              </w:rPr>
            </w:pPr>
            <w:r w:rsidRPr="00911565">
              <w:rPr>
                <w:rFonts w:ascii="Arial Black" w:hAnsi="Arial Black"/>
                <w:color w:val="999999"/>
                <w:sz w:val="36"/>
                <w:szCs w:val="36"/>
              </w:rPr>
              <w:t>R</w:t>
            </w:r>
            <w:r>
              <w:rPr>
                <w:rFonts w:ascii="Arial Black" w:hAnsi="Arial Black"/>
                <w:color w:val="999999"/>
                <w:sz w:val="36"/>
                <w:szCs w:val="36"/>
              </w:rPr>
              <w:t>EPORT FOR</w:t>
            </w:r>
            <w:r w:rsidR="006A233E" w:rsidRPr="00911565">
              <w:rPr>
                <w:rFonts w:ascii="Arial Black" w:hAnsi="Arial Black"/>
                <w:color w:val="999999"/>
                <w:sz w:val="36"/>
                <w:szCs w:val="36"/>
              </w:rPr>
              <w:t>:</w:t>
            </w:r>
          </w:p>
          <w:p w:rsidR="006A233E" w:rsidRPr="00911565" w:rsidRDefault="006A233E">
            <w:pPr>
              <w:pStyle w:val="Infotext"/>
              <w:rPr>
                <w:rFonts w:ascii="Arial Black" w:hAnsi="Arial Black" w:cs="Arial"/>
                <w:sz w:val="36"/>
                <w:szCs w:val="36"/>
              </w:rPr>
            </w:pPr>
          </w:p>
        </w:tc>
        <w:tc>
          <w:tcPr>
            <w:tcW w:w="5051" w:type="dxa"/>
            <w:tcBorders>
              <w:bottom w:val="single" w:sz="18" w:space="0" w:color="auto"/>
            </w:tcBorders>
          </w:tcPr>
          <w:p w:rsidR="006A233E" w:rsidRPr="00911565" w:rsidRDefault="00911565">
            <w:pPr>
              <w:pStyle w:val="Infotext"/>
              <w:rPr>
                <w:rFonts w:ascii="Arial Black" w:hAnsi="Arial Black" w:cs="Arial"/>
                <w:sz w:val="36"/>
                <w:szCs w:val="36"/>
              </w:rPr>
            </w:pPr>
            <w:r w:rsidRPr="00911565">
              <w:rPr>
                <w:rFonts w:ascii="Arial Black" w:hAnsi="Arial Black" w:cs="Arial"/>
                <w:sz w:val="36"/>
                <w:szCs w:val="36"/>
              </w:rPr>
              <w:t>LICENSING PANEL</w:t>
            </w:r>
          </w:p>
        </w:tc>
      </w:tr>
      <w:tr w:rsidR="006A233E">
        <w:tc>
          <w:tcPr>
            <w:tcW w:w="3474" w:type="dxa"/>
            <w:tcBorders>
              <w:top w:val="single" w:sz="18" w:space="0" w:color="auto"/>
            </w:tcBorders>
          </w:tcPr>
          <w:p w:rsidR="006A233E" w:rsidRPr="00911565" w:rsidRDefault="006A233E">
            <w:pPr>
              <w:pStyle w:val="Infotext"/>
              <w:rPr>
                <w:rFonts w:ascii="Arial Black" w:hAnsi="Arial Black"/>
              </w:rPr>
            </w:pPr>
            <w:r w:rsidRPr="00911565">
              <w:rPr>
                <w:rFonts w:ascii="Arial Black" w:hAnsi="Arial Black"/>
              </w:rPr>
              <w:t>Date</w:t>
            </w:r>
            <w:r w:rsidR="0002728A">
              <w:rPr>
                <w:rFonts w:ascii="Arial Black" w:hAnsi="Arial Black"/>
              </w:rPr>
              <w:t xml:space="preserve"> of Meeting</w:t>
            </w:r>
            <w:r w:rsidRPr="00911565">
              <w:rPr>
                <w:rFonts w:ascii="Arial Black" w:hAnsi="Arial Black"/>
              </w:rPr>
              <w:t>:</w:t>
            </w:r>
          </w:p>
          <w:p w:rsidR="006A233E" w:rsidRPr="00911565" w:rsidRDefault="006A233E">
            <w:pPr>
              <w:pStyle w:val="Infotext"/>
              <w:rPr>
                <w:rFonts w:ascii="Arial Black" w:hAnsi="Arial Black" w:cs="Arial"/>
              </w:rPr>
            </w:pPr>
          </w:p>
        </w:tc>
        <w:tc>
          <w:tcPr>
            <w:tcW w:w="5051" w:type="dxa"/>
            <w:tcBorders>
              <w:top w:val="single" w:sz="18" w:space="0" w:color="auto"/>
            </w:tcBorders>
          </w:tcPr>
          <w:p w:rsidR="006A233E" w:rsidRDefault="00DA0EF8">
            <w:pPr>
              <w:pStyle w:val="Infotext"/>
              <w:rPr>
                <w:rFonts w:cs="Arial"/>
              </w:rPr>
            </w:pPr>
            <w:r>
              <w:rPr>
                <w:rFonts w:cs="Arial"/>
              </w:rPr>
              <w:t>24 September 2019</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Subject:</w:t>
            </w:r>
          </w:p>
          <w:p w:rsidR="006A233E" w:rsidRPr="00911565" w:rsidRDefault="006A233E">
            <w:pPr>
              <w:pStyle w:val="Infotext"/>
              <w:rPr>
                <w:rFonts w:ascii="Arial Black" w:hAnsi="Arial Black"/>
              </w:rPr>
            </w:pPr>
          </w:p>
        </w:tc>
        <w:tc>
          <w:tcPr>
            <w:tcW w:w="5051" w:type="dxa"/>
          </w:tcPr>
          <w:p w:rsidR="009264CB" w:rsidRDefault="009264CB" w:rsidP="009264CB">
            <w:pPr>
              <w:pStyle w:val="Infotext"/>
            </w:pPr>
            <w:r>
              <w:t xml:space="preserve">Application for review of the premises licence for </w:t>
            </w:r>
            <w:r w:rsidR="00DA0EF8">
              <w:t>(A) Day Fresh, 50 South Parade, Mollison Way, Edgware, Middlesex, HA8 5QL</w:t>
            </w:r>
          </w:p>
          <w:p w:rsidR="006A233E" w:rsidRDefault="006A233E">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Responsible Officer:</w:t>
            </w:r>
          </w:p>
          <w:p w:rsidR="006A233E" w:rsidRPr="00911565" w:rsidRDefault="006A233E">
            <w:pPr>
              <w:pStyle w:val="Infotext"/>
              <w:rPr>
                <w:rFonts w:ascii="Arial Black" w:hAnsi="Arial Black" w:cs="Arial"/>
              </w:rPr>
            </w:pPr>
          </w:p>
        </w:tc>
        <w:tc>
          <w:tcPr>
            <w:tcW w:w="5051" w:type="dxa"/>
          </w:tcPr>
          <w:p w:rsidR="009264CB" w:rsidRDefault="009264CB" w:rsidP="009264CB">
            <w:pPr>
              <w:pStyle w:val="Infotext"/>
              <w:rPr>
                <w:rFonts w:cs="Arial"/>
              </w:rPr>
            </w:pPr>
            <w:r>
              <w:rPr>
                <w:rFonts w:cs="Arial"/>
              </w:rPr>
              <w:t>Paul Walker – Corporate Director – Community Directorate</w:t>
            </w:r>
          </w:p>
          <w:p w:rsidR="006A233E" w:rsidRDefault="006A233E">
            <w:pPr>
              <w:pStyle w:val="Infotext"/>
              <w:rPr>
                <w:rFonts w:cs="Arial"/>
              </w:rPr>
            </w:pPr>
          </w:p>
          <w:p w:rsidR="002C0FCA" w:rsidRDefault="002C0FCA">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Exempt:</w:t>
            </w:r>
          </w:p>
          <w:p w:rsidR="006A233E" w:rsidRPr="00911565" w:rsidRDefault="006A233E">
            <w:pPr>
              <w:pStyle w:val="Infotext"/>
              <w:rPr>
                <w:rFonts w:ascii="Arial Black" w:hAnsi="Arial Black" w:cs="Arial"/>
              </w:rPr>
            </w:pPr>
          </w:p>
        </w:tc>
        <w:tc>
          <w:tcPr>
            <w:tcW w:w="5051" w:type="dxa"/>
          </w:tcPr>
          <w:p w:rsidR="006A233E" w:rsidRDefault="006A233E">
            <w:pPr>
              <w:pStyle w:val="Infotext"/>
              <w:rPr>
                <w:rFonts w:cs="Arial"/>
              </w:rPr>
            </w:pPr>
            <w:r>
              <w:rPr>
                <w:rFonts w:cs="Arial"/>
              </w:rPr>
              <w:t>No</w:t>
            </w:r>
          </w:p>
          <w:p w:rsidR="006A233E" w:rsidRDefault="006A233E" w:rsidP="009264CB">
            <w:pPr>
              <w:pStyle w:val="Infotext"/>
              <w:rPr>
                <w:rFonts w:cs="Arial"/>
              </w:rPr>
            </w:pPr>
          </w:p>
        </w:tc>
      </w:tr>
      <w:tr w:rsidR="008652B2">
        <w:tc>
          <w:tcPr>
            <w:tcW w:w="3474" w:type="dxa"/>
          </w:tcPr>
          <w:p w:rsidR="008652B2" w:rsidRDefault="008652B2">
            <w:pPr>
              <w:pStyle w:val="Infotext"/>
              <w:rPr>
                <w:rFonts w:ascii="Arial Black" w:hAnsi="Arial Black" w:cs="Arial"/>
              </w:rPr>
            </w:pPr>
            <w:r>
              <w:rPr>
                <w:rFonts w:ascii="Arial Black" w:hAnsi="Arial Black" w:cs="Arial"/>
              </w:rPr>
              <w:t>Wards affected:</w:t>
            </w:r>
          </w:p>
          <w:p w:rsidR="008652B2" w:rsidRPr="00911565" w:rsidRDefault="008652B2">
            <w:pPr>
              <w:pStyle w:val="Infotext"/>
              <w:rPr>
                <w:rFonts w:ascii="Arial Black" w:hAnsi="Arial Black" w:cs="Arial"/>
              </w:rPr>
            </w:pPr>
          </w:p>
        </w:tc>
        <w:tc>
          <w:tcPr>
            <w:tcW w:w="5051" w:type="dxa"/>
          </w:tcPr>
          <w:p w:rsidR="008652B2" w:rsidRDefault="004606D1">
            <w:pPr>
              <w:pStyle w:val="Infotext"/>
            </w:pPr>
            <w:r>
              <w:t>Edgware</w:t>
            </w:r>
          </w:p>
          <w:p w:rsidR="00587AB5" w:rsidRDefault="00587AB5" w:rsidP="009264CB">
            <w:pPr>
              <w:pStyle w:val="Infotext"/>
            </w:pPr>
          </w:p>
        </w:tc>
      </w:tr>
      <w:tr w:rsidR="006A233E">
        <w:tc>
          <w:tcPr>
            <w:tcW w:w="3474" w:type="dxa"/>
          </w:tcPr>
          <w:p w:rsidR="006A233E" w:rsidRDefault="006A233E">
            <w:pPr>
              <w:pStyle w:val="Infotext"/>
              <w:rPr>
                <w:rFonts w:ascii="Arial Black" w:hAnsi="Arial Black" w:cs="Arial"/>
              </w:rPr>
            </w:pPr>
            <w:r w:rsidRPr="00911565">
              <w:rPr>
                <w:rFonts w:ascii="Arial Black" w:hAnsi="Arial Black" w:cs="Arial"/>
              </w:rPr>
              <w:t>Enclosures:</w:t>
            </w: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Pr="00911565" w:rsidRDefault="00831402">
            <w:pPr>
              <w:pStyle w:val="Infotext"/>
              <w:rPr>
                <w:rFonts w:ascii="Arial Black" w:hAnsi="Arial Black" w:cs="Arial"/>
              </w:rPr>
            </w:pPr>
          </w:p>
          <w:p w:rsidR="006A233E" w:rsidRPr="00911565" w:rsidRDefault="006A233E">
            <w:pPr>
              <w:pStyle w:val="Infotext"/>
              <w:rPr>
                <w:rFonts w:ascii="Arial Black" w:hAnsi="Arial Black" w:cs="Arial"/>
              </w:rPr>
            </w:pPr>
          </w:p>
        </w:tc>
        <w:tc>
          <w:tcPr>
            <w:tcW w:w="5051" w:type="dxa"/>
          </w:tcPr>
          <w:p w:rsidR="00831402" w:rsidRDefault="00831402">
            <w:pPr>
              <w:pStyle w:val="Infotext"/>
            </w:pPr>
          </w:p>
          <w:p w:rsidR="00831402" w:rsidRDefault="00831402">
            <w:pPr>
              <w:pStyle w:val="Infotext"/>
            </w:pPr>
          </w:p>
          <w:p w:rsidR="00D735E1" w:rsidRDefault="00831402" w:rsidP="00831402">
            <w:pPr>
              <w:pStyle w:val="Infotext"/>
            </w:pPr>
            <w:r>
              <w:t xml:space="preserve">Appendix 1 - Application for review </w:t>
            </w:r>
          </w:p>
          <w:p w:rsidR="006A233E" w:rsidRDefault="00D735E1" w:rsidP="00831402">
            <w:pPr>
              <w:pStyle w:val="Infotext"/>
            </w:pPr>
            <w:r>
              <w:t xml:space="preserve">Appendix 1a - </w:t>
            </w:r>
            <w:r w:rsidR="00B34A66">
              <w:t>Additional information provided by Applicant</w:t>
            </w:r>
            <w:r w:rsidR="009264CB">
              <w:br/>
            </w:r>
            <w:r w:rsidR="00DA0EF8">
              <w:t xml:space="preserve">Appendix 2 </w:t>
            </w:r>
            <w:r w:rsidR="00831402">
              <w:t>- Location map and   image</w:t>
            </w:r>
            <w:r w:rsidR="009264CB">
              <w:br/>
            </w:r>
            <w:r w:rsidR="00831402">
              <w:t xml:space="preserve">Appendix 3 - </w:t>
            </w:r>
            <w:r w:rsidR="009264CB">
              <w:t>Cu</w:t>
            </w:r>
            <w:r w:rsidR="00831402">
              <w:t>rrent premises licence and plan</w:t>
            </w:r>
            <w:r w:rsidR="009264CB">
              <w:br/>
            </w:r>
            <w:r w:rsidR="00831402">
              <w:t>Appendix 4 - Representations</w:t>
            </w:r>
            <w:r w:rsidR="009264CB">
              <w:br/>
            </w:r>
            <w:r w:rsidR="00831402">
              <w:t xml:space="preserve">Appendix 5 – </w:t>
            </w:r>
            <w:r w:rsidR="00C64866">
              <w:t xml:space="preserve">Relevant Section of </w:t>
            </w:r>
            <w:r w:rsidR="00831402">
              <w:t>Statement of Licensing Policy</w:t>
            </w:r>
          </w:p>
          <w:p w:rsidR="00831402" w:rsidRDefault="00831402" w:rsidP="00831402">
            <w:pPr>
              <w:pStyle w:val="Infotext"/>
            </w:pPr>
            <w:r>
              <w:t xml:space="preserve">Appendix 6 – </w:t>
            </w:r>
            <w:r w:rsidR="00C64866">
              <w:t xml:space="preserve">Relevant Section of </w:t>
            </w:r>
            <w:r>
              <w:t>Statutory Guidance</w:t>
            </w:r>
          </w:p>
        </w:tc>
      </w:tr>
      <w:tr w:rsidR="00831402">
        <w:tc>
          <w:tcPr>
            <w:tcW w:w="3474" w:type="dxa"/>
          </w:tcPr>
          <w:p w:rsidR="00831402" w:rsidRPr="00911565" w:rsidRDefault="00831402">
            <w:pPr>
              <w:pStyle w:val="Infotext"/>
              <w:rPr>
                <w:rFonts w:ascii="Arial Black" w:hAnsi="Arial Black" w:cs="Arial"/>
              </w:rPr>
            </w:pPr>
          </w:p>
        </w:tc>
        <w:tc>
          <w:tcPr>
            <w:tcW w:w="5051" w:type="dxa"/>
          </w:tcPr>
          <w:p w:rsidR="00831402" w:rsidRDefault="00831402">
            <w:pPr>
              <w:pStyle w:val="Infotext"/>
            </w:pPr>
          </w:p>
        </w:tc>
      </w:tr>
      <w:tr w:rsidR="00034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2"/>
            <w:tcBorders>
              <w:top w:val="nil"/>
              <w:left w:val="nil"/>
              <w:right w:val="nil"/>
            </w:tcBorders>
          </w:tcPr>
          <w:p w:rsidR="00034B71" w:rsidRDefault="00034B71" w:rsidP="00034B71">
            <w:pPr>
              <w:pStyle w:val="Heading1"/>
            </w:pPr>
            <w:r>
              <w:t>Section 1 – Summary</w:t>
            </w:r>
          </w:p>
          <w:p w:rsidR="00034B71" w:rsidRDefault="00034B71"/>
        </w:tc>
      </w:tr>
      <w:tr w:rsidR="006A2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2"/>
          </w:tcPr>
          <w:p w:rsidR="006A233E" w:rsidRDefault="006A233E"/>
          <w:p w:rsidR="006A233E" w:rsidRDefault="009264CB" w:rsidP="00ED7249">
            <w:pPr>
              <w:pStyle w:val="Heading2"/>
              <w:rPr>
                <w:bCs w:val="0"/>
              </w:rPr>
            </w:pPr>
            <w:r>
              <w:rPr>
                <w:bCs w:val="0"/>
              </w:rPr>
              <w:t xml:space="preserve">An application has been received from the Metropolitan Police Service </w:t>
            </w:r>
            <w:r w:rsidR="00B502D9">
              <w:rPr>
                <w:bCs w:val="0"/>
              </w:rPr>
              <w:t>further to s.51 of the Licensing Act 2003</w:t>
            </w:r>
            <w:r w:rsidR="001B484F">
              <w:rPr>
                <w:bCs w:val="0"/>
              </w:rPr>
              <w:t xml:space="preserve"> (“the Act”),</w:t>
            </w:r>
            <w:r w:rsidR="00B502D9">
              <w:rPr>
                <w:bCs w:val="0"/>
              </w:rPr>
              <w:t xml:space="preserve"> </w:t>
            </w:r>
            <w:r>
              <w:rPr>
                <w:bCs w:val="0"/>
              </w:rPr>
              <w:t xml:space="preserve">to review the premises licence for </w:t>
            </w:r>
            <w:r w:rsidR="00DA0EF8">
              <w:rPr>
                <w:bCs w:val="0"/>
              </w:rPr>
              <w:t xml:space="preserve">(A) Day Fresh, 50 South </w:t>
            </w:r>
            <w:r w:rsidR="00DA0EF8">
              <w:rPr>
                <w:bCs w:val="0"/>
              </w:rPr>
              <w:lastRenderedPageBreak/>
              <w:t>Parade, Mollison Way, Edgware, Middlesex, HA8 5QH</w:t>
            </w:r>
            <w:r w:rsidR="00B502D9">
              <w:rPr>
                <w:bCs w:val="0"/>
              </w:rPr>
              <w:t>.</w:t>
            </w:r>
            <w:r>
              <w:rPr>
                <w:bCs w:val="0"/>
              </w:rPr>
              <w:t xml:space="preserve"> </w:t>
            </w:r>
          </w:p>
          <w:p w:rsidR="00831402" w:rsidRPr="00831402" w:rsidRDefault="00831402" w:rsidP="00831402"/>
        </w:tc>
      </w:tr>
    </w:tbl>
    <w:p w:rsidR="003A253A" w:rsidRDefault="003A253A" w:rsidP="007D2AB0">
      <w:pPr>
        <w:pStyle w:val="Heading1"/>
        <w:jc w:val="both"/>
      </w:pPr>
    </w:p>
    <w:p w:rsidR="003A253A" w:rsidRDefault="003A253A" w:rsidP="007D2AB0">
      <w:pPr>
        <w:pStyle w:val="Heading1"/>
        <w:jc w:val="both"/>
      </w:pPr>
    </w:p>
    <w:p w:rsidR="007D2AB0" w:rsidRDefault="007D2AB0" w:rsidP="007D2AB0">
      <w:pPr>
        <w:pStyle w:val="Heading1"/>
        <w:jc w:val="both"/>
      </w:pPr>
      <w:r>
        <w:t>Representations received</w:t>
      </w:r>
    </w:p>
    <w:p w:rsidR="007D2AB0" w:rsidRDefault="007D2AB0" w:rsidP="007D2AB0"/>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9264CB" w:rsidTr="007B23C5">
        <w:trPr>
          <w:trHeight w:val="146"/>
        </w:trPr>
        <w:tc>
          <w:tcPr>
            <w:tcW w:w="4596" w:type="dxa"/>
          </w:tcPr>
          <w:p w:rsidR="009264CB" w:rsidRDefault="009264CB" w:rsidP="007B23C5">
            <w:pPr>
              <w:rPr>
                <w:b/>
              </w:rPr>
            </w:pPr>
            <w:r>
              <w:rPr>
                <w:b/>
              </w:rPr>
              <w:t>From</w:t>
            </w:r>
          </w:p>
        </w:tc>
        <w:tc>
          <w:tcPr>
            <w:tcW w:w="5010" w:type="dxa"/>
          </w:tcPr>
          <w:p w:rsidR="009264CB" w:rsidRDefault="009264CB" w:rsidP="007B23C5">
            <w:pPr>
              <w:rPr>
                <w:b/>
                <w:bCs/>
              </w:rPr>
            </w:pPr>
            <w:r>
              <w:rPr>
                <w:b/>
                <w:bCs/>
              </w:rPr>
              <w:t>Representations details</w:t>
            </w:r>
          </w:p>
          <w:p w:rsidR="009264CB" w:rsidRDefault="009264CB" w:rsidP="007B23C5">
            <w:pPr>
              <w:rPr>
                <w:bCs/>
              </w:rPr>
            </w:pPr>
          </w:p>
        </w:tc>
      </w:tr>
      <w:tr w:rsidR="009264CB" w:rsidTr="007B23C5">
        <w:trPr>
          <w:trHeight w:val="146"/>
        </w:trPr>
        <w:tc>
          <w:tcPr>
            <w:tcW w:w="4596" w:type="dxa"/>
            <w:vAlign w:val="center"/>
          </w:tcPr>
          <w:p w:rsidR="009264CB" w:rsidRDefault="009264CB" w:rsidP="007B23C5">
            <w:r>
              <w:t xml:space="preserve">The Planning Authority </w:t>
            </w:r>
          </w:p>
        </w:tc>
        <w:tc>
          <w:tcPr>
            <w:tcW w:w="5010" w:type="dxa"/>
            <w:vAlign w:val="center"/>
          </w:tcPr>
          <w:p w:rsidR="009264CB" w:rsidRDefault="009264CB" w:rsidP="007B23C5">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Health &amp; Safety </w:t>
            </w:r>
          </w:p>
        </w:tc>
        <w:tc>
          <w:tcPr>
            <w:tcW w:w="5010" w:type="dxa"/>
            <w:vAlign w:val="center"/>
          </w:tcPr>
          <w:p w:rsidR="009264CB" w:rsidRPr="007262E4" w:rsidRDefault="009264CB" w:rsidP="007B23C5">
            <w:pPr>
              <w:rPr>
                <w:b/>
              </w:rPr>
            </w:pPr>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Environmental Health </w:t>
            </w:r>
          </w:p>
        </w:tc>
        <w:tc>
          <w:tcPr>
            <w:tcW w:w="5010" w:type="dxa"/>
            <w:vAlign w:val="center"/>
          </w:tcPr>
          <w:p w:rsidR="009264CB" w:rsidRPr="00B31392" w:rsidRDefault="009264CB" w:rsidP="007B23C5">
            <w:pPr>
              <w:pStyle w:val="Heading7"/>
              <w:rPr>
                <w:b/>
                <w:bCs/>
                <w:i w:val="0"/>
              </w:rPr>
            </w:pPr>
            <w:r>
              <w:t>No representations received</w:t>
            </w:r>
          </w:p>
        </w:tc>
      </w:tr>
      <w:tr w:rsidR="009264CB" w:rsidTr="007B23C5">
        <w:trPr>
          <w:trHeight w:val="146"/>
        </w:trPr>
        <w:tc>
          <w:tcPr>
            <w:tcW w:w="4596" w:type="dxa"/>
            <w:vAlign w:val="center"/>
          </w:tcPr>
          <w:p w:rsidR="009264CB" w:rsidRDefault="009264CB" w:rsidP="007B23C5">
            <w:r>
              <w:t xml:space="preserve">Trading Standards </w:t>
            </w:r>
          </w:p>
        </w:tc>
        <w:tc>
          <w:tcPr>
            <w:tcW w:w="5010" w:type="dxa"/>
            <w:vAlign w:val="center"/>
          </w:tcPr>
          <w:p w:rsidR="009264CB" w:rsidRDefault="00DA0EF8" w:rsidP="007B23C5">
            <w:r>
              <w:t>No representations received</w:t>
            </w:r>
          </w:p>
        </w:tc>
      </w:tr>
      <w:tr w:rsidR="009264CB" w:rsidTr="007B23C5">
        <w:trPr>
          <w:trHeight w:val="146"/>
        </w:trPr>
        <w:tc>
          <w:tcPr>
            <w:tcW w:w="4596" w:type="dxa"/>
            <w:vAlign w:val="center"/>
          </w:tcPr>
          <w:p w:rsidR="009264CB" w:rsidRDefault="009264CB" w:rsidP="007B23C5">
            <w:r>
              <w:t>Area Child Protection Service</w:t>
            </w:r>
          </w:p>
        </w:tc>
        <w:tc>
          <w:tcPr>
            <w:tcW w:w="5010" w:type="dxa"/>
            <w:vAlign w:val="center"/>
          </w:tcPr>
          <w:p w:rsidR="009264CB" w:rsidRDefault="009264CB" w:rsidP="007B23C5">
            <w:r>
              <w:t>No representations received</w:t>
            </w:r>
          </w:p>
        </w:tc>
      </w:tr>
      <w:tr w:rsidR="009264CB" w:rsidTr="007B23C5">
        <w:trPr>
          <w:trHeight w:val="355"/>
        </w:trPr>
        <w:tc>
          <w:tcPr>
            <w:tcW w:w="4596" w:type="dxa"/>
            <w:vAlign w:val="center"/>
          </w:tcPr>
          <w:p w:rsidR="009264CB" w:rsidRDefault="009264CB" w:rsidP="007B23C5">
            <w:r>
              <w:t xml:space="preserve">London Fire Brigade </w:t>
            </w:r>
          </w:p>
        </w:tc>
        <w:tc>
          <w:tcPr>
            <w:tcW w:w="5010" w:type="dxa"/>
            <w:vAlign w:val="center"/>
          </w:tcPr>
          <w:p w:rsidR="009264CB" w:rsidRDefault="009264CB" w:rsidP="007B23C5">
            <w:r>
              <w:t>No representations received</w:t>
            </w:r>
          </w:p>
        </w:tc>
      </w:tr>
      <w:tr w:rsidR="009264CB" w:rsidTr="007B23C5">
        <w:trPr>
          <w:trHeight w:val="313"/>
        </w:trPr>
        <w:tc>
          <w:tcPr>
            <w:tcW w:w="4596" w:type="dxa"/>
            <w:vAlign w:val="center"/>
          </w:tcPr>
          <w:p w:rsidR="009264CB" w:rsidRPr="000425D9" w:rsidRDefault="009264CB" w:rsidP="007B23C5">
            <w:pPr>
              <w:pStyle w:val="Heading7"/>
            </w:pPr>
            <w:r w:rsidRPr="000425D9">
              <w:t>Metropolitan Police</w:t>
            </w:r>
          </w:p>
        </w:tc>
        <w:tc>
          <w:tcPr>
            <w:tcW w:w="5010" w:type="dxa"/>
            <w:vAlign w:val="center"/>
          </w:tcPr>
          <w:p w:rsidR="009264CB" w:rsidRPr="007262E4" w:rsidRDefault="009264CB" w:rsidP="007B23C5">
            <w:pPr>
              <w:rPr>
                <w:bCs/>
              </w:rPr>
            </w:pPr>
            <w:r>
              <w:t>Application made &amp; representations received</w:t>
            </w:r>
          </w:p>
        </w:tc>
      </w:tr>
      <w:tr w:rsidR="009264CB" w:rsidTr="007B23C5">
        <w:trPr>
          <w:trHeight w:val="313"/>
        </w:trPr>
        <w:tc>
          <w:tcPr>
            <w:tcW w:w="4596" w:type="dxa"/>
            <w:vAlign w:val="center"/>
          </w:tcPr>
          <w:p w:rsidR="009264CB" w:rsidRPr="000425D9" w:rsidRDefault="009264CB" w:rsidP="007B23C5">
            <w:pPr>
              <w:pStyle w:val="Heading7"/>
            </w:pPr>
            <w:r>
              <w:t>Licensing authority</w:t>
            </w:r>
          </w:p>
        </w:tc>
        <w:tc>
          <w:tcPr>
            <w:tcW w:w="5010" w:type="dxa"/>
            <w:vAlign w:val="center"/>
          </w:tcPr>
          <w:p w:rsidR="009264CB" w:rsidRDefault="009264CB" w:rsidP="007B23C5">
            <w:r>
              <w:t>No representations made</w:t>
            </w:r>
          </w:p>
        </w:tc>
      </w:tr>
      <w:tr w:rsidR="00611133" w:rsidTr="007B23C5">
        <w:trPr>
          <w:trHeight w:val="313"/>
        </w:trPr>
        <w:tc>
          <w:tcPr>
            <w:tcW w:w="4596" w:type="dxa"/>
            <w:vAlign w:val="center"/>
          </w:tcPr>
          <w:p w:rsidR="00611133" w:rsidRDefault="00611133" w:rsidP="007B23C5">
            <w:pPr>
              <w:pStyle w:val="Heading7"/>
            </w:pPr>
            <w:r>
              <w:t>Her Majesty’s Revenue &amp; Customs</w:t>
            </w:r>
          </w:p>
        </w:tc>
        <w:tc>
          <w:tcPr>
            <w:tcW w:w="5010" w:type="dxa"/>
            <w:vAlign w:val="center"/>
          </w:tcPr>
          <w:p w:rsidR="00611133" w:rsidRDefault="00611133" w:rsidP="007B23C5">
            <w:r>
              <w:t>Representation received</w:t>
            </w:r>
          </w:p>
        </w:tc>
      </w:tr>
    </w:tbl>
    <w:p w:rsidR="009264CB" w:rsidRDefault="009264CB" w:rsidP="007D2AB0"/>
    <w:p w:rsidR="009264CB" w:rsidRPr="006E76A2" w:rsidRDefault="009264CB" w:rsidP="009264CB">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9264CB" w:rsidRDefault="009264CB" w:rsidP="009264CB">
      <w:pPr>
        <w:ind w:left="426"/>
      </w:pPr>
      <w:r>
        <w:br/>
      </w:r>
      <w:r w:rsidR="00DF6EF3">
        <w:t>1 representation received from a Councillor.</w:t>
      </w:r>
    </w:p>
    <w:p w:rsidR="007D2AB0" w:rsidRPr="007D2AB0" w:rsidRDefault="007D2AB0" w:rsidP="007D2AB0"/>
    <w:p w:rsidR="006A233E" w:rsidRDefault="006A233E">
      <w:pPr>
        <w:pStyle w:val="Heading1"/>
        <w:jc w:val="both"/>
      </w:pPr>
      <w:r>
        <w:t>Section 2 – Report</w:t>
      </w:r>
    </w:p>
    <w:p w:rsidR="00CB373D" w:rsidRPr="00CB373D" w:rsidRDefault="00CB373D" w:rsidP="00CB373D"/>
    <w:p w:rsidR="00B502D9" w:rsidRDefault="00CB373D" w:rsidP="00611133">
      <w:pPr>
        <w:pStyle w:val="BodyTextIndent"/>
        <w:numPr>
          <w:ilvl w:val="0"/>
          <w:numId w:val="20"/>
        </w:numPr>
        <w:spacing w:after="0"/>
        <w:jc w:val="both"/>
      </w:pPr>
      <w:r>
        <w:rPr>
          <w:rFonts w:cs="Arial"/>
        </w:rPr>
        <w:t>An application has been received on behalf of the Metropolitan Police Service</w:t>
      </w:r>
      <w:r w:rsidR="00B502D9">
        <w:rPr>
          <w:rFonts w:cs="Arial"/>
        </w:rPr>
        <w:t xml:space="preserve"> further to s.51 of the Licensing Act 2003</w:t>
      </w:r>
      <w:r w:rsidR="001B484F">
        <w:rPr>
          <w:rFonts w:cs="Arial"/>
        </w:rPr>
        <w:t xml:space="preserve"> (“the Act”)</w:t>
      </w:r>
      <w:r>
        <w:rPr>
          <w:rFonts w:cs="Arial"/>
        </w:rPr>
        <w:t xml:space="preserve"> to review the premises licence of </w:t>
      </w:r>
      <w:r w:rsidR="00611133">
        <w:rPr>
          <w:rFonts w:cs="Arial"/>
        </w:rPr>
        <w:t xml:space="preserve">(A) Day Fresh, 50 South Parade, Mollison Way, Edgware, Middlesex, HA8 5QL, </w:t>
      </w:r>
      <w:r w:rsidR="00B502D9">
        <w:rPr>
          <w:rFonts w:cs="Arial"/>
        </w:rPr>
        <w:t xml:space="preserve">currently held by </w:t>
      </w:r>
      <w:r w:rsidR="00611133" w:rsidRPr="00611133">
        <w:rPr>
          <w:rFonts w:cs="Arial"/>
        </w:rPr>
        <w:t xml:space="preserve">Mrs </w:t>
      </w:r>
      <w:proofErr w:type="spellStart"/>
      <w:r w:rsidR="00611133" w:rsidRPr="00611133">
        <w:rPr>
          <w:rFonts w:cs="Arial"/>
        </w:rPr>
        <w:t>Mathivathani</w:t>
      </w:r>
      <w:proofErr w:type="spellEnd"/>
      <w:r w:rsidR="00611133" w:rsidRPr="00611133">
        <w:rPr>
          <w:rFonts w:cs="Arial"/>
        </w:rPr>
        <w:t xml:space="preserve"> </w:t>
      </w:r>
      <w:proofErr w:type="spellStart"/>
      <w:r w:rsidR="00611133" w:rsidRPr="00611133">
        <w:rPr>
          <w:rFonts w:cs="Arial"/>
        </w:rPr>
        <w:t>Kenkarajah</w:t>
      </w:r>
      <w:proofErr w:type="spellEnd"/>
      <w:r w:rsidR="00B502D9">
        <w:rPr>
          <w:rFonts w:cs="Arial"/>
        </w:rPr>
        <w:t xml:space="preserve"> </w:t>
      </w:r>
    </w:p>
    <w:p w:rsidR="00B502D9" w:rsidRPr="00B502D9" w:rsidRDefault="00B502D9" w:rsidP="00ED7249">
      <w:pPr>
        <w:pStyle w:val="BodyTextIndent"/>
        <w:spacing w:after="0"/>
        <w:ind w:left="360"/>
      </w:pPr>
    </w:p>
    <w:p w:rsidR="00B502D9" w:rsidRPr="00ED7249" w:rsidRDefault="00B502D9" w:rsidP="00B3504B">
      <w:pPr>
        <w:pStyle w:val="BodyTextIndent"/>
        <w:numPr>
          <w:ilvl w:val="0"/>
          <w:numId w:val="20"/>
        </w:numPr>
        <w:spacing w:after="0"/>
      </w:pPr>
      <w:r>
        <w:rPr>
          <w:rFonts w:cs="Arial"/>
        </w:rPr>
        <w:t>The Licensing Objectives to which the rev</w:t>
      </w:r>
      <w:r w:rsidR="00ED7249">
        <w:rPr>
          <w:rFonts w:cs="Arial"/>
        </w:rPr>
        <w:t>iew applications relates to are:</w:t>
      </w:r>
    </w:p>
    <w:p w:rsidR="00ED7249" w:rsidRDefault="00ED7249" w:rsidP="00ED7249">
      <w:pPr>
        <w:pStyle w:val="BodyTextIndent"/>
        <w:spacing w:after="0"/>
        <w:ind w:left="360"/>
        <w:rPr>
          <w:rFonts w:cs="Arial"/>
        </w:rPr>
      </w:pPr>
    </w:p>
    <w:p w:rsidR="00ED7249" w:rsidRDefault="00ED7249" w:rsidP="00ED7249">
      <w:pPr>
        <w:pStyle w:val="BodyTextIndent"/>
        <w:spacing w:after="0"/>
      </w:pPr>
      <w:r>
        <w:t>a) Prevention of Crime and Disorder;</w:t>
      </w:r>
    </w:p>
    <w:p w:rsidR="00ED7249" w:rsidRDefault="00ED7249" w:rsidP="00ED7249">
      <w:pPr>
        <w:pStyle w:val="BodyTextIndent"/>
        <w:spacing w:after="0"/>
      </w:pPr>
      <w:r>
        <w:t>b) Public Safety;</w:t>
      </w:r>
    </w:p>
    <w:p w:rsidR="00ED7249" w:rsidRDefault="00ED7249" w:rsidP="00ED7249">
      <w:pPr>
        <w:pStyle w:val="BodyTextIndent"/>
        <w:spacing w:after="0"/>
      </w:pPr>
      <w:r>
        <w:t>c) Prevention of Public Nuisance; and</w:t>
      </w:r>
    </w:p>
    <w:p w:rsidR="00ED7249" w:rsidRDefault="00ED7249" w:rsidP="00ED7249">
      <w:pPr>
        <w:pStyle w:val="BodyTextIndent"/>
        <w:spacing w:after="0"/>
      </w:pPr>
      <w:r>
        <w:t>d) Protection of Children from Harm</w:t>
      </w:r>
      <w:r>
        <w:rPr>
          <w:rFonts w:cs="Arial"/>
        </w:rPr>
        <w:t>.</w:t>
      </w:r>
    </w:p>
    <w:p w:rsidR="00ED7249" w:rsidRDefault="00ED7249" w:rsidP="00ED7249">
      <w:pPr>
        <w:pStyle w:val="BodyTextIndent"/>
        <w:spacing w:after="0"/>
        <w:ind w:left="360"/>
        <w:rPr>
          <w:rFonts w:cs="Arial"/>
        </w:rPr>
      </w:pPr>
    </w:p>
    <w:p w:rsidR="00ED7249" w:rsidRPr="00ED7249" w:rsidRDefault="00ED7249" w:rsidP="00ED7249">
      <w:pPr>
        <w:pStyle w:val="BodyTextIndent"/>
        <w:spacing w:after="0"/>
        <w:ind w:left="360"/>
      </w:pPr>
      <w:r w:rsidRPr="00AF395F">
        <w:rPr>
          <w:u w:val="single"/>
        </w:rPr>
        <w:t>Description of premises</w:t>
      </w:r>
    </w:p>
    <w:p w:rsidR="00ED7249" w:rsidRPr="00ED7249" w:rsidRDefault="00ED7249" w:rsidP="00ED7249">
      <w:pPr>
        <w:pStyle w:val="BodyTextIndent"/>
        <w:spacing w:after="0"/>
        <w:ind w:left="360"/>
      </w:pPr>
    </w:p>
    <w:p w:rsidR="00CB373D" w:rsidRPr="00511A5D" w:rsidRDefault="00CB373D" w:rsidP="00ED7249">
      <w:pPr>
        <w:pStyle w:val="BodyTextIndent"/>
        <w:numPr>
          <w:ilvl w:val="0"/>
          <w:numId w:val="20"/>
        </w:numPr>
        <w:spacing w:after="0"/>
        <w:jc w:val="both"/>
      </w:pPr>
      <w:r w:rsidRPr="00ED7249">
        <w:rPr>
          <w:rFonts w:cs="Calibri"/>
          <w:color w:val="000000"/>
          <w:lang w:eastAsia="en-GB"/>
        </w:rPr>
        <w:t xml:space="preserve">The premises are located on the busy shopping parade of </w:t>
      </w:r>
      <w:r w:rsidR="00611133">
        <w:rPr>
          <w:rFonts w:cs="Calibri"/>
          <w:color w:val="000000"/>
          <w:lang w:eastAsia="en-GB"/>
        </w:rPr>
        <w:t>South Parade, Mollison Way</w:t>
      </w:r>
      <w:r w:rsidRPr="00ED7249">
        <w:rPr>
          <w:rFonts w:cs="Calibri"/>
          <w:color w:val="000000"/>
          <w:lang w:eastAsia="en-GB"/>
        </w:rPr>
        <w:t xml:space="preserve">.  The premises comprise a </w:t>
      </w:r>
      <w:r w:rsidR="00611133">
        <w:rPr>
          <w:rFonts w:cs="Calibri"/>
          <w:color w:val="000000"/>
          <w:lang w:eastAsia="en-GB"/>
        </w:rPr>
        <w:t>three</w:t>
      </w:r>
      <w:r w:rsidR="007375C9" w:rsidRPr="00ED7249">
        <w:rPr>
          <w:rFonts w:cs="Calibri"/>
          <w:color w:val="000000"/>
          <w:lang w:eastAsia="en-GB"/>
        </w:rPr>
        <w:t xml:space="preserve"> storey building.  The ground floor being a small grocery and off licence and the </w:t>
      </w:r>
      <w:r w:rsidR="00611133">
        <w:rPr>
          <w:rFonts w:cs="Calibri"/>
          <w:color w:val="000000"/>
          <w:lang w:eastAsia="en-GB"/>
        </w:rPr>
        <w:t>other two floors</w:t>
      </w:r>
      <w:r w:rsidR="007375C9" w:rsidRPr="00ED7249">
        <w:rPr>
          <w:rFonts w:cs="Calibri"/>
          <w:color w:val="000000"/>
          <w:lang w:eastAsia="en-GB"/>
        </w:rPr>
        <w:t xml:space="preserve"> being flats.</w:t>
      </w:r>
    </w:p>
    <w:p w:rsidR="00CB373D" w:rsidRDefault="00CB373D" w:rsidP="00ED7249">
      <w:pPr>
        <w:pStyle w:val="ListParagraph"/>
        <w:ind w:left="1281"/>
        <w:jc w:val="both"/>
      </w:pPr>
    </w:p>
    <w:p w:rsidR="00CB373D" w:rsidRDefault="00CB373D" w:rsidP="00ED7249">
      <w:pPr>
        <w:pStyle w:val="BodyTextIndent"/>
        <w:numPr>
          <w:ilvl w:val="0"/>
          <w:numId w:val="20"/>
        </w:numPr>
        <w:spacing w:after="0"/>
        <w:jc w:val="both"/>
      </w:pPr>
      <w:r>
        <w:t xml:space="preserve">An image of the premises and a location map are provided at </w:t>
      </w:r>
      <w:r w:rsidR="001B484F">
        <w:t>A</w:t>
      </w:r>
      <w:r>
        <w:t>ppendix 2.</w:t>
      </w:r>
    </w:p>
    <w:p w:rsidR="00ED7249" w:rsidRDefault="00ED7249" w:rsidP="00ED7249">
      <w:pPr>
        <w:pStyle w:val="BodyTextIndent"/>
        <w:spacing w:after="0"/>
        <w:ind w:left="360"/>
        <w:jc w:val="both"/>
      </w:pPr>
    </w:p>
    <w:p w:rsidR="000C6F5C" w:rsidRDefault="000C6F5C" w:rsidP="00ED7249">
      <w:pPr>
        <w:pStyle w:val="BodyTextIndent"/>
        <w:spacing w:after="0"/>
        <w:ind w:left="360"/>
        <w:rPr>
          <w:u w:val="single"/>
        </w:rPr>
      </w:pPr>
    </w:p>
    <w:p w:rsidR="000C6F5C" w:rsidRDefault="000C6F5C" w:rsidP="00ED7249">
      <w:pPr>
        <w:pStyle w:val="BodyTextIndent"/>
        <w:spacing w:after="0"/>
        <w:ind w:left="360"/>
        <w:rPr>
          <w:u w:val="single"/>
        </w:rPr>
      </w:pPr>
    </w:p>
    <w:p w:rsidR="00ED7249" w:rsidRDefault="00ED7249" w:rsidP="00ED7249">
      <w:pPr>
        <w:pStyle w:val="BodyTextIndent"/>
        <w:spacing w:after="0"/>
        <w:ind w:left="360"/>
        <w:rPr>
          <w:u w:val="single"/>
        </w:rPr>
      </w:pPr>
      <w:r>
        <w:rPr>
          <w:u w:val="single"/>
        </w:rPr>
        <w:lastRenderedPageBreak/>
        <w:t>Licensing history</w:t>
      </w:r>
    </w:p>
    <w:p w:rsidR="00ED7249" w:rsidRDefault="00ED7249" w:rsidP="00ED7249">
      <w:pPr>
        <w:pStyle w:val="BodyTextIndent"/>
        <w:spacing w:after="0"/>
        <w:ind w:left="360"/>
        <w:jc w:val="both"/>
      </w:pPr>
    </w:p>
    <w:p w:rsidR="00CB373D" w:rsidRPr="00ED7249" w:rsidRDefault="00CB373D" w:rsidP="00ED7249">
      <w:pPr>
        <w:pStyle w:val="BodyTextIndent"/>
        <w:numPr>
          <w:ilvl w:val="0"/>
          <w:numId w:val="20"/>
        </w:numPr>
        <w:spacing w:after="0"/>
        <w:jc w:val="both"/>
      </w:pPr>
      <w:r>
        <w:t xml:space="preserve">A premises licence was first granted on </w:t>
      </w:r>
      <w:r w:rsidR="00395001">
        <w:t>14 November 2008</w:t>
      </w:r>
      <w:r>
        <w:t xml:space="preserve">.  </w:t>
      </w:r>
      <w:r w:rsidR="00395001">
        <w:t>There have not been any transfer or DPS variations submitted since the original grant.</w:t>
      </w:r>
      <w:r w:rsidR="00DF6EF3">
        <w:t xml:space="preserve">  </w:t>
      </w:r>
    </w:p>
    <w:p w:rsidR="00CB373D" w:rsidRDefault="00CB373D" w:rsidP="00E67102">
      <w:pPr>
        <w:pStyle w:val="ListParagraph"/>
        <w:ind w:left="1281"/>
        <w:rPr>
          <w:u w:val="single"/>
        </w:rPr>
      </w:pPr>
    </w:p>
    <w:p w:rsidR="00CB373D" w:rsidRDefault="00CB373D" w:rsidP="00ED7249">
      <w:pPr>
        <w:pStyle w:val="BodyTextIndent"/>
        <w:numPr>
          <w:ilvl w:val="0"/>
          <w:numId w:val="20"/>
        </w:numPr>
        <w:spacing w:after="0"/>
        <w:jc w:val="both"/>
      </w:pPr>
      <w:r>
        <w:t xml:space="preserve">The current premises licence and plan are attached at appendix 3.  </w:t>
      </w:r>
    </w:p>
    <w:p w:rsidR="00ED7249" w:rsidRDefault="00ED7249" w:rsidP="00ED7249">
      <w:pPr>
        <w:pStyle w:val="BodyTextIndent"/>
        <w:jc w:val="both"/>
        <w:rPr>
          <w:u w:val="single"/>
        </w:rPr>
      </w:pPr>
    </w:p>
    <w:p w:rsidR="00CB373D" w:rsidRDefault="00ED7249" w:rsidP="00ED7249">
      <w:pPr>
        <w:pStyle w:val="BodyTextIndent"/>
      </w:pPr>
      <w:r w:rsidRPr="0082321C">
        <w:rPr>
          <w:u w:val="single"/>
        </w:rPr>
        <w:t>Details of the application</w:t>
      </w:r>
    </w:p>
    <w:p w:rsidR="00CB373D" w:rsidRDefault="00ED7249" w:rsidP="00ED7249">
      <w:pPr>
        <w:pStyle w:val="BodyTextIndent"/>
        <w:numPr>
          <w:ilvl w:val="0"/>
          <w:numId w:val="20"/>
        </w:numPr>
        <w:spacing w:after="0"/>
        <w:jc w:val="both"/>
      </w:pPr>
      <w:r>
        <w:t>The Application was received on the</w:t>
      </w:r>
      <w:r w:rsidR="00CB373D">
        <w:t xml:space="preserve"> </w:t>
      </w:r>
      <w:r w:rsidR="00DF6EF3">
        <w:t>5 August 2019</w:t>
      </w:r>
      <w:r>
        <w:t xml:space="preserve">. </w:t>
      </w:r>
      <w:r w:rsidR="00CB373D">
        <w:t>The application has been advertised in accordance with the prescribed regulations.</w:t>
      </w:r>
    </w:p>
    <w:p w:rsidR="00ED7249" w:rsidRDefault="00ED7249" w:rsidP="00ED7249">
      <w:pPr>
        <w:pStyle w:val="BodyTextIndent"/>
        <w:ind w:left="0" w:firstLine="360"/>
        <w:rPr>
          <w:u w:val="single"/>
        </w:rPr>
      </w:pPr>
    </w:p>
    <w:p w:rsidR="00CB373D" w:rsidRDefault="00ED7249" w:rsidP="00ED7249">
      <w:pPr>
        <w:pStyle w:val="BodyTextIndent"/>
        <w:ind w:left="0" w:firstLine="360"/>
      </w:pPr>
      <w:r w:rsidRPr="00047E81">
        <w:rPr>
          <w:u w:val="single"/>
        </w:rPr>
        <w:t>Representations</w:t>
      </w:r>
    </w:p>
    <w:p w:rsidR="00ED7249" w:rsidRDefault="00ED7249" w:rsidP="00ED7249">
      <w:pPr>
        <w:pStyle w:val="BodyTextIndent"/>
        <w:spacing w:after="0"/>
        <w:ind w:left="360"/>
        <w:rPr>
          <w:u w:val="single"/>
        </w:rPr>
      </w:pPr>
    </w:p>
    <w:p w:rsidR="00CB373D" w:rsidRPr="00AE65A4" w:rsidRDefault="00CB373D" w:rsidP="00ED7249">
      <w:pPr>
        <w:pStyle w:val="BodyTextIndent"/>
        <w:numPr>
          <w:ilvl w:val="0"/>
          <w:numId w:val="20"/>
        </w:numPr>
        <w:spacing w:after="0"/>
        <w:jc w:val="both"/>
        <w:rPr>
          <w:u w:val="single"/>
        </w:rPr>
      </w:pPr>
      <w:r>
        <w:t xml:space="preserve">There have been </w:t>
      </w:r>
      <w:r w:rsidR="00DC4766">
        <w:t>three</w:t>
      </w:r>
      <w:r>
        <w:t xml:space="preserve"> representations.  </w:t>
      </w:r>
      <w:r w:rsidR="00E3655D">
        <w:t xml:space="preserve">Two </w:t>
      </w:r>
      <w:r>
        <w:t>are</w:t>
      </w:r>
      <w:r w:rsidR="00ED7249">
        <w:t xml:space="preserve"> from responsible authorities </w:t>
      </w:r>
      <w:r w:rsidR="00E3655D">
        <w:t>being HMRC and the police and the other from a councillor.</w:t>
      </w:r>
      <w:r>
        <w:t xml:space="preserve"> </w:t>
      </w:r>
    </w:p>
    <w:p w:rsidR="00ED7249" w:rsidRDefault="00ED7249" w:rsidP="00ED7249">
      <w:pPr>
        <w:pStyle w:val="BodyTextIndent"/>
        <w:spacing w:after="0"/>
        <w:ind w:left="0" w:firstLine="360"/>
        <w:rPr>
          <w:u w:val="single"/>
        </w:rPr>
      </w:pPr>
    </w:p>
    <w:p w:rsidR="00F41AC3" w:rsidRDefault="00ED7249" w:rsidP="00ED7249">
      <w:pPr>
        <w:pStyle w:val="BodyTextIndent"/>
        <w:spacing w:after="0"/>
        <w:ind w:left="0" w:firstLine="360"/>
        <w:rPr>
          <w:u w:val="single"/>
        </w:rPr>
      </w:pPr>
      <w:r w:rsidRPr="00D22C2D">
        <w:rPr>
          <w:u w:val="single"/>
        </w:rPr>
        <w:t>Officer observations</w:t>
      </w:r>
    </w:p>
    <w:p w:rsidR="00ED7249" w:rsidRDefault="00ED7249" w:rsidP="00ED7249">
      <w:pPr>
        <w:pStyle w:val="BodyTextIndent"/>
        <w:spacing w:after="0"/>
        <w:rPr>
          <w:u w:val="single"/>
        </w:rPr>
      </w:pPr>
    </w:p>
    <w:p w:rsidR="00E67102" w:rsidRDefault="001B484F" w:rsidP="00ED7249">
      <w:pPr>
        <w:pStyle w:val="BodyTextIndent"/>
        <w:numPr>
          <w:ilvl w:val="0"/>
          <w:numId w:val="20"/>
        </w:numPr>
        <w:spacing w:after="0"/>
        <w:jc w:val="both"/>
      </w:pPr>
      <w:r>
        <w:t>The applicant</w:t>
      </w:r>
      <w:r w:rsidR="00CB373D">
        <w:t xml:space="preserve"> </w:t>
      </w:r>
      <w:r w:rsidR="00ED7249">
        <w:t>alleges that</w:t>
      </w:r>
      <w:r w:rsidR="00CB373D">
        <w:t xml:space="preserve"> during several visits by the police, the licensee has not been able to uphold </w:t>
      </w:r>
      <w:r w:rsidR="008023B3">
        <w:t xml:space="preserve">one or more of the four </w:t>
      </w:r>
      <w:r w:rsidR="00CB373D">
        <w:t>licensing objective</w:t>
      </w:r>
      <w:r w:rsidR="008023B3">
        <w:t>s</w:t>
      </w:r>
      <w:r w:rsidR="00CB373D">
        <w:t xml:space="preserve">.  The application </w:t>
      </w:r>
      <w:r w:rsidR="00ED7249">
        <w:t>alleges</w:t>
      </w:r>
      <w:r w:rsidR="008023B3">
        <w:t xml:space="preserve"> breaches of licence conditions and </w:t>
      </w:r>
      <w:r w:rsidR="00CB373D">
        <w:t>the keeping of smuggled goods.  The applica</w:t>
      </w:r>
      <w:r>
        <w:t>n</w:t>
      </w:r>
      <w:r w:rsidR="00CB373D">
        <w:t xml:space="preserve">t </w:t>
      </w:r>
      <w:r w:rsidR="00ED7249">
        <w:t>states that</w:t>
      </w:r>
      <w:r w:rsidR="00CB373D">
        <w:t xml:space="preserve"> the police </w:t>
      </w:r>
      <w:r w:rsidR="00E3655D">
        <w:t>and the licensing authority have worked with the applicant on several occasions to remedy the problems encountered at the premises, however the problems still continue.</w:t>
      </w:r>
    </w:p>
    <w:p w:rsidR="00E67102" w:rsidRDefault="00E67102" w:rsidP="00E67102">
      <w:pPr>
        <w:pStyle w:val="BodyTextIndent"/>
        <w:spacing w:after="0"/>
        <w:ind w:left="0"/>
      </w:pPr>
    </w:p>
    <w:p w:rsidR="00E67102" w:rsidRDefault="00F41AC3" w:rsidP="00E761C3">
      <w:pPr>
        <w:pStyle w:val="BodyTextIndent"/>
        <w:numPr>
          <w:ilvl w:val="0"/>
          <w:numId w:val="20"/>
        </w:numPr>
        <w:spacing w:after="0"/>
        <w:jc w:val="both"/>
        <w:rPr>
          <w:rFonts w:cs="Arial"/>
        </w:rPr>
      </w:pPr>
      <w:r>
        <w:t xml:space="preserve">The representation made by </w:t>
      </w:r>
      <w:r w:rsidR="00E3655D">
        <w:t xml:space="preserve">the police alleges that by </w:t>
      </w:r>
      <w:r w:rsidR="00047E81">
        <w:t xml:space="preserve">the premises </w:t>
      </w:r>
      <w:r w:rsidR="00E3655D">
        <w:t xml:space="preserve">providing alcohol to street drinkers, </w:t>
      </w:r>
      <w:r w:rsidR="00047E81">
        <w:t>this</w:t>
      </w:r>
      <w:r w:rsidR="00E3655D">
        <w:t xml:space="preserve"> is contributing to anti-social behaviour.  The representation </w:t>
      </w:r>
      <w:r w:rsidR="00047E81">
        <w:t xml:space="preserve">made </w:t>
      </w:r>
      <w:r w:rsidR="00E3655D">
        <w:t>by HMRC shows that they have confiscated alcohol</w:t>
      </w:r>
      <w:r w:rsidR="00047E81">
        <w:t xml:space="preserve"> and cigarettes from</w:t>
      </w:r>
      <w:r w:rsidR="00E3655D">
        <w:t xml:space="preserve"> the premises</w:t>
      </w:r>
      <w:r w:rsidR="00047E81">
        <w:t xml:space="preserve"> on several occasions as they suspected that the correct duty has not been paid.  On the latest visit by HMRC on 14 August, further confiscations were made and the licensee was given the opportunity to provide VAT invoices, however, the licensee failed to provide these.</w:t>
      </w:r>
    </w:p>
    <w:p w:rsidR="00E67102" w:rsidRDefault="00E67102" w:rsidP="00E67102">
      <w:pPr>
        <w:pStyle w:val="BodyTextIndent"/>
        <w:spacing w:after="0"/>
        <w:ind w:left="0"/>
        <w:rPr>
          <w:rFonts w:cs="Arial"/>
        </w:rPr>
      </w:pPr>
    </w:p>
    <w:p w:rsidR="00E67102" w:rsidRDefault="00F41AC3" w:rsidP="00E761C3">
      <w:pPr>
        <w:pStyle w:val="BodyTextIndent"/>
        <w:numPr>
          <w:ilvl w:val="0"/>
          <w:numId w:val="20"/>
        </w:numPr>
        <w:spacing w:after="0"/>
        <w:jc w:val="both"/>
      </w:pPr>
      <w:r>
        <w:t xml:space="preserve">The keeping of smuggled goods is an offence under Section 144 of the </w:t>
      </w:r>
      <w:r w:rsidR="001B484F">
        <w:t>Act</w:t>
      </w:r>
      <w:r>
        <w:t xml:space="preserve">.  </w:t>
      </w:r>
    </w:p>
    <w:p w:rsidR="00E67102" w:rsidRDefault="00E67102" w:rsidP="00E67102">
      <w:pPr>
        <w:pStyle w:val="BodyTextIndent"/>
        <w:spacing w:after="0"/>
        <w:ind w:left="0"/>
      </w:pPr>
    </w:p>
    <w:p w:rsidR="00E761C3" w:rsidRPr="00E761C3" w:rsidRDefault="00E761C3" w:rsidP="00E761C3">
      <w:pPr>
        <w:pStyle w:val="BodyTextIndent"/>
        <w:spacing w:after="0"/>
        <w:ind w:left="360"/>
        <w:rPr>
          <w:rFonts w:cs="Arial"/>
          <w:color w:val="000000"/>
        </w:rPr>
      </w:pPr>
      <w:r w:rsidRPr="00D61CF2">
        <w:rPr>
          <w:color w:val="000000"/>
          <w:u w:val="single"/>
        </w:rPr>
        <w:t xml:space="preserve">Licensing policy </w:t>
      </w:r>
    </w:p>
    <w:p w:rsidR="00CB373D" w:rsidRDefault="00CB373D" w:rsidP="00E67102">
      <w:pPr>
        <w:pStyle w:val="ListParagraph"/>
        <w:rPr>
          <w:color w:val="000000"/>
          <w:u w:val="single"/>
        </w:rPr>
      </w:pPr>
    </w:p>
    <w:p w:rsidR="00CB373D" w:rsidRPr="001B484F" w:rsidRDefault="00831402" w:rsidP="00E761C3">
      <w:pPr>
        <w:pStyle w:val="BodyTextIndent"/>
        <w:numPr>
          <w:ilvl w:val="0"/>
          <w:numId w:val="20"/>
        </w:numPr>
        <w:spacing w:after="0"/>
        <w:jc w:val="both"/>
        <w:rPr>
          <w:rFonts w:cs="Arial"/>
          <w:color w:val="000000"/>
        </w:rPr>
      </w:pPr>
      <w:r>
        <w:t>In considering the Application for Review as set out in Appendix 1, t</w:t>
      </w:r>
      <w:r w:rsidR="00CB373D">
        <w:t>he Panel will bear th</w:t>
      </w:r>
      <w:r>
        <w:t>e statement of licensing policy</w:t>
      </w:r>
      <w:r w:rsidR="00CB373D">
        <w:t xml:space="preserve"> attached to this report at </w:t>
      </w:r>
      <w:r>
        <w:t>A</w:t>
      </w:r>
      <w:r w:rsidR="00CB373D">
        <w:t>ppendix 5. The Panel has discretion to depart from the guidelines, which are designed with consistency and transparency of decision-making in mind.</w:t>
      </w:r>
    </w:p>
    <w:p w:rsidR="001B484F" w:rsidRPr="001B484F" w:rsidRDefault="001B484F" w:rsidP="001B484F">
      <w:pPr>
        <w:pStyle w:val="BodyTextIndent"/>
        <w:spacing w:after="0"/>
        <w:ind w:left="0" w:firstLine="360"/>
        <w:jc w:val="both"/>
        <w:rPr>
          <w:rFonts w:cs="Arial"/>
          <w:color w:val="000000"/>
          <w:u w:val="single"/>
        </w:rPr>
      </w:pPr>
      <w:r w:rsidRPr="001B484F">
        <w:rPr>
          <w:rFonts w:cs="Arial"/>
          <w:color w:val="000000"/>
          <w:u w:val="single"/>
        </w:rPr>
        <w:t>Statutory guidance</w:t>
      </w:r>
    </w:p>
    <w:p w:rsidR="001B484F" w:rsidRPr="001B484F" w:rsidRDefault="001B484F" w:rsidP="001B484F">
      <w:pPr>
        <w:pStyle w:val="BodyTextIndent"/>
        <w:ind w:left="0"/>
        <w:jc w:val="both"/>
        <w:rPr>
          <w:rFonts w:cs="Arial"/>
          <w:color w:val="000000"/>
        </w:rPr>
      </w:pPr>
    </w:p>
    <w:p w:rsidR="00C64866" w:rsidRDefault="00C64866" w:rsidP="00C64866">
      <w:pPr>
        <w:pStyle w:val="ListParagraph"/>
        <w:numPr>
          <w:ilvl w:val="0"/>
          <w:numId w:val="20"/>
        </w:numPr>
        <w:jc w:val="both"/>
        <w:rPr>
          <w:color w:val="000000"/>
          <w:szCs w:val="20"/>
        </w:rPr>
      </w:pPr>
      <w:r w:rsidRPr="00C64866">
        <w:rPr>
          <w:color w:val="000000"/>
          <w:szCs w:val="20"/>
        </w:rPr>
        <w:t xml:space="preserve">Paragraph 10.27 </w:t>
      </w:r>
      <w:r>
        <w:rPr>
          <w:color w:val="000000"/>
          <w:szCs w:val="20"/>
        </w:rPr>
        <w:t xml:space="preserve">of the Statutory Guidance (April 2018) </w:t>
      </w:r>
      <w:r w:rsidRPr="00C64866">
        <w:rPr>
          <w:color w:val="000000"/>
          <w:szCs w:val="20"/>
        </w:rPr>
        <w:t xml:space="preserve">states in part “The main purpose of the ‘designated premises supervisor’ as defined in the 2003 Act is to ensure that there is always one specified individual among these personal licence holders who can be readily identified for the </w:t>
      </w:r>
      <w:r w:rsidRPr="00C64866">
        <w:rPr>
          <w:color w:val="000000"/>
          <w:szCs w:val="20"/>
        </w:rPr>
        <w:lastRenderedPageBreak/>
        <w:t xml:space="preserve">premises where a premises licence is in force. That person will normally have been given day to day responsibility for running the premises by the premises licence holder. </w:t>
      </w:r>
    </w:p>
    <w:p w:rsidR="00C64866" w:rsidRPr="00C64866" w:rsidRDefault="00C64866" w:rsidP="00C64866">
      <w:pPr>
        <w:pStyle w:val="ListParagraph"/>
        <w:ind w:left="360"/>
        <w:rPr>
          <w:color w:val="000000"/>
          <w:szCs w:val="20"/>
        </w:rPr>
      </w:pPr>
    </w:p>
    <w:p w:rsidR="001B484F" w:rsidRPr="001B484F" w:rsidRDefault="001B484F" w:rsidP="001B484F">
      <w:pPr>
        <w:pStyle w:val="BodyTextIndent"/>
        <w:numPr>
          <w:ilvl w:val="0"/>
          <w:numId w:val="20"/>
        </w:numPr>
        <w:jc w:val="both"/>
        <w:rPr>
          <w:rFonts w:cs="Arial"/>
          <w:color w:val="000000"/>
        </w:rPr>
      </w:pPr>
      <w:r w:rsidRPr="001B484F">
        <w:rPr>
          <w:rFonts w:cs="Arial"/>
          <w:color w:val="000000"/>
        </w:rPr>
        <w:t xml:space="preserve">Section </w:t>
      </w:r>
      <w:r w:rsidR="00C64866">
        <w:rPr>
          <w:rFonts w:cs="Arial"/>
          <w:color w:val="000000"/>
        </w:rPr>
        <w:t xml:space="preserve">11 </w:t>
      </w:r>
      <w:r w:rsidRPr="001B484F">
        <w:rPr>
          <w:rFonts w:cs="Arial"/>
          <w:color w:val="000000"/>
        </w:rPr>
        <w:t>of the Statutory Guidance (April 2018) issued under section 182 of the Act regarding reviews is attache</w:t>
      </w:r>
      <w:r>
        <w:rPr>
          <w:rFonts w:cs="Arial"/>
          <w:color w:val="000000"/>
        </w:rPr>
        <w:t>d to this report at Appendix 6.</w:t>
      </w:r>
    </w:p>
    <w:p w:rsidR="00CB373D" w:rsidRDefault="00CB373D" w:rsidP="00E67102">
      <w:pPr>
        <w:pStyle w:val="ListParagraph"/>
        <w:rPr>
          <w:color w:val="000000"/>
          <w:u w:val="single"/>
        </w:rPr>
      </w:pPr>
    </w:p>
    <w:p w:rsidR="00831402" w:rsidRDefault="001B484F" w:rsidP="001B484F">
      <w:pPr>
        <w:pStyle w:val="BodyTextIndent"/>
        <w:spacing w:after="0"/>
        <w:ind w:left="0" w:firstLine="360"/>
        <w:rPr>
          <w:color w:val="000000"/>
          <w:u w:val="single"/>
        </w:rPr>
      </w:pPr>
      <w:r>
        <w:rPr>
          <w:color w:val="000000"/>
          <w:u w:val="single"/>
        </w:rPr>
        <w:t>Determination</w:t>
      </w:r>
    </w:p>
    <w:p w:rsidR="001B484F" w:rsidRPr="001B484F" w:rsidRDefault="001B484F" w:rsidP="001B484F">
      <w:pPr>
        <w:pStyle w:val="BodyTextIndent"/>
        <w:spacing w:after="0"/>
        <w:ind w:left="0" w:firstLine="360"/>
        <w:rPr>
          <w:rFonts w:cs="Arial"/>
          <w:color w:val="000000"/>
        </w:rPr>
      </w:pPr>
    </w:p>
    <w:p w:rsidR="00CB373D" w:rsidRPr="001B484F" w:rsidRDefault="00CB373D" w:rsidP="001B484F">
      <w:pPr>
        <w:pStyle w:val="BodyTextIndent"/>
        <w:numPr>
          <w:ilvl w:val="0"/>
          <w:numId w:val="20"/>
        </w:numPr>
        <w:spacing w:after="0"/>
        <w:jc w:val="both"/>
        <w:rPr>
          <w:rFonts w:cs="Arial"/>
          <w:color w:val="000000"/>
        </w:rPr>
      </w:pPr>
      <w:r w:rsidRPr="001B484F">
        <w:rPr>
          <w:color w:val="000000"/>
        </w:rPr>
        <w:t xml:space="preserve">The </w:t>
      </w:r>
      <w:r w:rsidRPr="006E76A2">
        <w:t xml:space="preserve">Licensing </w:t>
      </w:r>
      <w:r>
        <w:t>Authority</w:t>
      </w:r>
      <w:r w:rsidRPr="006E76A2">
        <w:t xml:space="preserve"> is required to </w:t>
      </w:r>
      <w:r>
        <w:t xml:space="preserve">hold a hearing to consider the review application and </w:t>
      </w:r>
      <w:r w:rsidRPr="006E76A2">
        <w:t xml:space="preserve">any relevant representations </w:t>
      </w:r>
      <w:r>
        <w:t>made</w:t>
      </w:r>
      <w:r w:rsidRPr="006E76A2">
        <w:t xml:space="preserve">. </w:t>
      </w:r>
      <w:r>
        <w:t xml:space="preserve"> </w:t>
      </w:r>
      <w:r w:rsidRPr="006E76A2">
        <w:t xml:space="preserve">The hearing must be held in accordance with the Licensing Act 2003 (Hearings) Regulations 2005. </w:t>
      </w:r>
    </w:p>
    <w:p w:rsidR="00CB373D" w:rsidRDefault="00CB373D" w:rsidP="00831402">
      <w:pPr>
        <w:pStyle w:val="ListParagraph"/>
        <w:jc w:val="both"/>
      </w:pPr>
    </w:p>
    <w:p w:rsidR="00CB373D" w:rsidRPr="00351EC8" w:rsidRDefault="00CB373D" w:rsidP="00831402">
      <w:pPr>
        <w:pStyle w:val="BodyTextIndent"/>
        <w:numPr>
          <w:ilvl w:val="0"/>
          <w:numId w:val="20"/>
        </w:numPr>
        <w:spacing w:after="0"/>
        <w:jc w:val="both"/>
        <w:rPr>
          <w:rFonts w:cs="Arial"/>
          <w:color w:val="000000"/>
        </w:rPr>
      </w:pPr>
      <w:r w:rsidRPr="006E76A2">
        <w:t>The Licensing Panel is required to give appropriate weight to the</w:t>
      </w:r>
      <w:r>
        <w:t xml:space="preserve"> review application,</w:t>
      </w:r>
      <w:r w:rsidRPr="006E76A2">
        <w:t xml:space="preserve"> representations (including supporting information) presented by all the parties, the Guidance issued pursuant to section 182 of the Licensing Act 2003, the Council’s statement of licensing policy and the steps </w:t>
      </w:r>
      <w:r>
        <w:t xml:space="preserve">(if any) </w:t>
      </w:r>
      <w:r w:rsidRPr="006E76A2">
        <w:t xml:space="preserve">that are </w:t>
      </w:r>
      <w:r>
        <w:t>appropriate</w:t>
      </w:r>
      <w:r w:rsidRPr="006E76A2">
        <w:t xml:space="preserve"> to promote the four licensing objectives. </w:t>
      </w:r>
    </w:p>
    <w:p w:rsidR="00351EC8" w:rsidRPr="00351EC8" w:rsidRDefault="00351EC8" w:rsidP="00351EC8">
      <w:pPr>
        <w:pStyle w:val="BodyTextIndent"/>
        <w:spacing w:after="0"/>
        <w:ind w:left="360"/>
        <w:jc w:val="both"/>
        <w:rPr>
          <w:rFonts w:cs="Arial"/>
          <w:color w:val="000000"/>
        </w:rPr>
      </w:pPr>
    </w:p>
    <w:p w:rsidR="00351EC8" w:rsidRDefault="00351EC8" w:rsidP="00831402">
      <w:pPr>
        <w:pStyle w:val="BodyTextIndent"/>
        <w:numPr>
          <w:ilvl w:val="0"/>
          <w:numId w:val="20"/>
        </w:numPr>
        <w:spacing w:after="0"/>
        <w:jc w:val="both"/>
        <w:rPr>
          <w:rFonts w:cs="Arial"/>
          <w:color w:val="000000"/>
        </w:rPr>
      </w:pPr>
      <w:r>
        <w:rPr>
          <w:rFonts w:cs="Arial"/>
          <w:color w:val="000000"/>
        </w:rPr>
        <w:t xml:space="preserve">The Licensing Panel shall determine the application in accordance with S.52 of the Licencing Act 2003 (“the Act”). </w:t>
      </w:r>
    </w:p>
    <w:p w:rsidR="00CB373D" w:rsidRPr="00F855BA" w:rsidRDefault="00CB373D" w:rsidP="00831402">
      <w:pPr>
        <w:pStyle w:val="BodyTextIndent"/>
        <w:ind w:left="0"/>
        <w:jc w:val="both"/>
        <w:rPr>
          <w:rFonts w:cs="Arial"/>
          <w:color w:val="000000"/>
        </w:rPr>
      </w:pPr>
    </w:p>
    <w:p w:rsidR="00CB373D" w:rsidRPr="00351EC8" w:rsidRDefault="00351EC8" w:rsidP="00831402">
      <w:pPr>
        <w:pStyle w:val="BodyTextIndent"/>
        <w:numPr>
          <w:ilvl w:val="0"/>
          <w:numId w:val="20"/>
        </w:numPr>
        <w:spacing w:after="0"/>
        <w:jc w:val="both"/>
        <w:rPr>
          <w:rFonts w:cs="Arial"/>
          <w:color w:val="000000"/>
        </w:rPr>
      </w:pPr>
      <w:r>
        <w:t>As per s.52 (3) the Act, the authority must having, having regard to the application and any relevant representations, take such of the steps mentioned in subsection (4) (if any) as it considers appropriate for the promotion of the Licensing objectives.</w:t>
      </w:r>
      <w:r w:rsidR="00CB373D" w:rsidRPr="006E76A2">
        <w:t xml:space="preserve"> </w:t>
      </w:r>
    </w:p>
    <w:p w:rsidR="00351EC8" w:rsidRPr="00351EC8" w:rsidRDefault="00351EC8" w:rsidP="00351EC8">
      <w:pPr>
        <w:pStyle w:val="BodyTextIndent"/>
        <w:spacing w:after="0"/>
        <w:ind w:left="360"/>
        <w:jc w:val="both"/>
        <w:rPr>
          <w:rFonts w:cs="Arial"/>
          <w:color w:val="000000"/>
        </w:rPr>
      </w:pPr>
    </w:p>
    <w:p w:rsidR="00351EC8" w:rsidRPr="00D61CF2" w:rsidRDefault="00351EC8" w:rsidP="00351EC8">
      <w:pPr>
        <w:pStyle w:val="BodyTextIndent"/>
        <w:numPr>
          <w:ilvl w:val="0"/>
          <w:numId w:val="20"/>
        </w:numPr>
        <w:spacing w:after="0"/>
        <w:jc w:val="both"/>
        <w:rPr>
          <w:rFonts w:cs="Arial"/>
          <w:color w:val="000000"/>
        </w:rPr>
      </w:pPr>
      <w:r>
        <w:rPr>
          <w:rFonts w:cs="Arial"/>
          <w:color w:val="000000"/>
        </w:rPr>
        <w:t xml:space="preserve">The steps as set out in s.52 (4) of the Act are: </w:t>
      </w:r>
    </w:p>
    <w:p w:rsidR="00CB373D" w:rsidRDefault="00CB373D" w:rsidP="00351EC8">
      <w:pPr>
        <w:pStyle w:val="ListParagraph"/>
        <w:jc w:val="both"/>
      </w:pPr>
    </w:p>
    <w:p w:rsidR="00CB373D" w:rsidRPr="009B0A0D" w:rsidRDefault="00CB373D" w:rsidP="00351EC8">
      <w:pPr>
        <w:pStyle w:val="ListParagraph"/>
        <w:numPr>
          <w:ilvl w:val="0"/>
          <w:numId w:val="23"/>
        </w:numPr>
        <w:spacing w:after="120"/>
        <w:ind w:right="667"/>
        <w:jc w:val="both"/>
      </w:pPr>
      <w:r>
        <w:t>t</w:t>
      </w:r>
      <w:r w:rsidRPr="009B0A0D">
        <w:t xml:space="preserve">o modify the conditions of the </w:t>
      </w:r>
      <w:r>
        <w:t>l</w:t>
      </w:r>
      <w:r w:rsidRPr="009B0A0D">
        <w:t>icence</w:t>
      </w:r>
      <w:r>
        <w:t>;</w:t>
      </w:r>
    </w:p>
    <w:p w:rsidR="00CB373D" w:rsidRPr="009B0A0D" w:rsidRDefault="00CB373D" w:rsidP="00351EC8">
      <w:pPr>
        <w:pStyle w:val="ListParagraph"/>
        <w:numPr>
          <w:ilvl w:val="0"/>
          <w:numId w:val="23"/>
        </w:numPr>
        <w:spacing w:after="120"/>
        <w:ind w:right="667"/>
        <w:jc w:val="both"/>
      </w:pPr>
      <w:r>
        <w:t>t</w:t>
      </w:r>
      <w:r w:rsidRPr="009B0A0D">
        <w:t xml:space="preserve">o </w:t>
      </w:r>
      <w:r>
        <w:t>exclude any of the</w:t>
      </w:r>
      <w:r w:rsidRPr="009B0A0D">
        <w:t xml:space="preserve"> lic</w:t>
      </w:r>
      <w:r>
        <w:t>ensable activities</w:t>
      </w:r>
      <w:r w:rsidRPr="009B0A0D">
        <w:t xml:space="preserve"> from the scope of the licence;</w:t>
      </w:r>
    </w:p>
    <w:p w:rsidR="00CB373D" w:rsidRPr="009B0A0D" w:rsidRDefault="00CB373D" w:rsidP="00351EC8">
      <w:pPr>
        <w:pStyle w:val="ListParagraph"/>
        <w:numPr>
          <w:ilvl w:val="0"/>
          <w:numId w:val="23"/>
        </w:numPr>
        <w:spacing w:after="120"/>
        <w:ind w:right="667"/>
        <w:jc w:val="both"/>
      </w:pPr>
      <w:r>
        <w:t>t</w:t>
      </w:r>
      <w:r w:rsidRPr="009B0A0D">
        <w:t xml:space="preserve">o remove the designated premises supervisor; </w:t>
      </w:r>
    </w:p>
    <w:p w:rsidR="00CB373D" w:rsidRPr="009B0A0D" w:rsidRDefault="00CB373D" w:rsidP="00351EC8">
      <w:pPr>
        <w:pStyle w:val="ListParagraph"/>
        <w:numPr>
          <w:ilvl w:val="0"/>
          <w:numId w:val="23"/>
        </w:numPr>
        <w:spacing w:after="120"/>
        <w:ind w:right="667"/>
        <w:jc w:val="both"/>
      </w:pPr>
      <w:r>
        <w:t>t</w:t>
      </w:r>
      <w:r w:rsidRPr="009B0A0D">
        <w:t>o suspend the licence for a period not exceeding 3 months;</w:t>
      </w:r>
    </w:p>
    <w:p w:rsidR="00CB373D" w:rsidRDefault="00CB373D" w:rsidP="00351EC8">
      <w:pPr>
        <w:pStyle w:val="ListParagraph"/>
        <w:numPr>
          <w:ilvl w:val="0"/>
          <w:numId w:val="23"/>
        </w:numPr>
        <w:spacing w:after="120"/>
        <w:ind w:right="667"/>
        <w:jc w:val="both"/>
      </w:pPr>
      <w:r>
        <w:t>to revoke the licence</w:t>
      </w:r>
    </w:p>
    <w:p w:rsidR="00CB373D" w:rsidRDefault="001B484F" w:rsidP="00351EC8">
      <w:pPr>
        <w:spacing w:after="120"/>
        <w:ind w:left="360" w:right="667"/>
        <w:jc w:val="both"/>
      </w:pPr>
      <w:r w:rsidRPr="009B0A0D">
        <w:t>And</w:t>
      </w:r>
      <w:r w:rsidR="00CB373D" w:rsidRPr="009B0A0D">
        <w:t xml:space="preserve"> for this purpose the conditions of the licence are modified if any of them </w:t>
      </w:r>
      <w:r w:rsidR="00CB373D">
        <w:t>are</w:t>
      </w:r>
      <w:r w:rsidR="00CB373D" w:rsidRPr="009B0A0D">
        <w:t xml:space="preserve"> altered or omitted or any new condition added.</w:t>
      </w:r>
    </w:p>
    <w:p w:rsidR="00CB373D" w:rsidRPr="00ED48FF" w:rsidRDefault="00CB373D" w:rsidP="00351EC8">
      <w:pPr>
        <w:pStyle w:val="ListParagraph"/>
        <w:numPr>
          <w:ilvl w:val="0"/>
          <w:numId w:val="20"/>
        </w:numPr>
        <w:spacing w:after="120"/>
        <w:ind w:right="667"/>
        <w:jc w:val="both"/>
      </w:pPr>
      <w:r>
        <w:t>If the P</w:t>
      </w:r>
      <w:r w:rsidR="00B3504B">
        <w:t xml:space="preserve">anel takes a step mentioned in </w:t>
      </w:r>
      <w:r w:rsidR="00351EC8">
        <w:t>subsection (4) (</w:t>
      </w:r>
      <w:r w:rsidR="00B3504B">
        <w:t>a</w:t>
      </w:r>
      <w:r w:rsidR="00351EC8">
        <w:t>)</w:t>
      </w:r>
      <w:r>
        <w:t xml:space="preserve"> </w:t>
      </w:r>
      <w:r w:rsidR="00B3504B">
        <w:t xml:space="preserve">or </w:t>
      </w:r>
      <w:r w:rsidR="00351EC8">
        <w:t>(</w:t>
      </w:r>
      <w:r w:rsidR="00B3504B">
        <w:t>b</w:t>
      </w:r>
      <w:r w:rsidR="00351EC8">
        <w:t>)</w:t>
      </w:r>
      <w:r>
        <w:t xml:space="preserve">, it </w:t>
      </w:r>
      <w:r w:rsidR="00351EC8">
        <w:t>may</w:t>
      </w:r>
      <w:r>
        <w:t xml:space="preserve"> specify that the modification or exclusion is to have effect for a period up to three months if it considers this to be appropriate.  </w:t>
      </w:r>
    </w:p>
    <w:p w:rsidR="00CB373D" w:rsidRPr="008002C3" w:rsidRDefault="001B484F" w:rsidP="00351EC8">
      <w:pPr>
        <w:pStyle w:val="ListParagraph"/>
        <w:numPr>
          <w:ilvl w:val="0"/>
          <w:numId w:val="20"/>
        </w:numPr>
        <w:spacing w:after="120"/>
        <w:ind w:right="667"/>
        <w:jc w:val="both"/>
      </w:pPr>
      <w:r>
        <w:t>The Panel should also note:</w:t>
      </w:r>
    </w:p>
    <w:p w:rsidR="00CB373D" w:rsidRPr="006E76A2" w:rsidRDefault="00CB373D" w:rsidP="00351EC8">
      <w:pPr>
        <w:pStyle w:val="ListParagraph"/>
        <w:numPr>
          <w:ilvl w:val="0"/>
          <w:numId w:val="24"/>
        </w:numPr>
        <w:ind w:right="142"/>
        <w:jc w:val="both"/>
      </w:pPr>
      <w:r>
        <w:t>c</w:t>
      </w:r>
      <w:r w:rsidRPr="006E76A2">
        <w:t xml:space="preserve">lear reasons </w:t>
      </w:r>
      <w:r>
        <w:t>must be given for the decision;</w:t>
      </w:r>
    </w:p>
    <w:p w:rsidR="00CB373D" w:rsidRPr="006E76A2" w:rsidRDefault="00CB373D" w:rsidP="00831402">
      <w:pPr>
        <w:pStyle w:val="ListParagraph"/>
        <w:numPr>
          <w:ilvl w:val="0"/>
          <w:numId w:val="24"/>
        </w:numPr>
        <w:ind w:right="142"/>
        <w:jc w:val="both"/>
      </w:pPr>
      <w:r>
        <w:t>a</w:t>
      </w:r>
      <w:r w:rsidRPr="006E76A2">
        <w:t xml:space="preserve">ny additional or modified conditions should be </w:t>
      </w:r>
      <w:r>
        <w:t>practicable</w:t>
      </w:r>
      <w:r w:rsidRPr="006E76A2">
        <w:t xml:space="preserve"> and enforceable</w:t>
      </w:r>
      <w:r>
        <w:t>;</w:t>
      </w:r>
    </w:p>
    <w:p w:rsidR="00CB373D" w:rsidRDefault="00CB373D" w:rsidP="00831402">
      <w:pPr>
        <w:pStyle w:val="ListParagraph"/>
        <w:numPr>
          <w:ilvl w:val="0"/>
          <w:numId w:val="24"/>
        </w:numPr>
        <w:ind w:right="142"/>
        <w:jc w:val="both"/>
      </w:pPr>
      <w:r>
        <w:t>the applicant for the review, the premises licence holder</w:t>
      </w:r>
      <w:r w:rsidRPr="006E76A2">
        <w:t xml:space="preserve"> and any person who made relevant representations would have the right of appeal to a magistrates’ court on </w:t>
      </w:r>
      <w:r>
        <w:t>one of the grounds provided in s</w:t>
      </w:r>
      <w:r w:rsidR="001B484F">
        <w:t xml:space="preserve">chedule 5 to the </w:t>
      </w:r>
      <w:r w:rsidRPr="006E76A2">
        <w:t>Act</w:t>
      </w:r>
      <w:r>
        <w:t>.</w:t>
      </w:r>
    </w:p>
    <w:p w:rsidR="00CB373D" w:rsidRDefault="00CB373D" w:rsidP="00831402">
      <w:pPr>
        <w:ind w:left="851" w:right="142"/>
        <w:jc w:val="both"/>
      </w:pPr>
    </w:p>
    <w:p w:rsidR="00CB373D" w:rsidRDefault="00CB373D" w:rsidP="00831402">
      <w:pPr>
        <w:pStyle w:val="ListParagraph"/>
        <w:numPr>
          <w:ilvl w:val="0"/>
          <w:numId w:val="20"/>
        </w:numPr>
        <w:ind w:right="142"/>
        <w:jc w:val="both"/>
      </w:pPr>
      <w:r>
        <w:t>In addition to determining the application in accordance with the legislation, Members must have regard to the –</w:t>
      </w:r>
    </w:p>
    <w:p w:rsidR="00CB373D" w:rsidRDefault="00CB373D" w:rsidP="00831402">
      <w:pPr>
        <w:ind w:left="561" w:right="667"/>
        <w:jc w:val="both"/>
      </w:pPr>
    </w:p>
    <w:p w:rsidR="00CB373D" w:rsidRDefault="00351EC8" w:rsidP="00831402">
      <w:pPr>
        <w:pStyle w:val="ListNumber"/>
        <w:numPr>
          <w:ilvl w:val="0"/>
          <w:numId w:val="21"/>
        </w:numPr>
        <w:spacing w:after="0"/>
        <w:jc w:val="both"/>
      </w:pPr>
      <w:r>
        <w:rPr>
          <w:rFonts w:cs="Arial"/>
        </w:rPr>
        <w:t>C</w:t>
      </w:r>
      <w:r w:rsidR="00CB373D">
        <w:rPr>
          <w:rFonts w:cs="Arial"/>
        </w:rPr>
        <w:t xml:space="preserve">ommon law rules of natural justice (i.e. ensuring a fair and unbiased hearing </w:t>
      </w:r>
      <w:r>
        <w:rPr>
          <w:rFonts w:cs="Arial"/>
        </w:rPr>
        <w:t>etc.</w:t>
      </w:r>
      <w:r w:rsidR="00CB373D">
        <w:rPr>
          <w:rFonts w:cs="Arial"/>
        </w:rPr>
        <w:t>);</w:t>
      </w:r>
    </w:p>
    <w:p w:rsidR="00CB373D" w:rsidRDefault="00351EC8" w:rsidP="00831402">
      <w:pPr>
        <w:pStyle w:val="ListNumber"/>
        <w:numPr>
          <w:ilvl w:val="0"/>
          <w:numId w:val="21"/>
        </w:numPr>
        <w:spacing w:after="0"/>
        <w:jc w:val="both"/>
      </w:pPr>
      <w:r>
        <w:t>P</w:t>
      </w:r>
      <w:r w:rsidR="00CB373D">
        <w:t>rovisions of the Human Rights Act 1998;</w:t>
      </w:r>
    </w:p>
    <w:p w:rsidR="00CB373D" w:rsidRDefault="00351EC8" w:rsidP="00831402">
      <w:pPr>
        <w:pStyle w:val="ListNumber"/>
        <w:numPr>
          <w:ilvl w:val="0"/>
          <w:numId w:val="21"/>
        </w:numPr>
        <w:spacing w:after="0"/>
        <w:jc w:val="both"/>
      </w:pPr>
      <w:r>
        <w:t>Considerations</w:t>
      </w:r>
      <w:r w:rsidR="00CB373D">
        <w:t xml:space="preserve"> in section 17 of the Crime and Disorder Act 1998.</w:t>
      </w:r>
    </w:p>
    <w:p w:rsidR="00CB373D" w:rsidRDefault="00CB373D" w:rsidP="00831402">
      <w:pPr>
        <w:pStyle w:val="ListNumber"/>
        <w:numPr>
          <w:ilvl w:val="0"/>
          <w:numId w:val="0"/>
        </w:numPr>
        <w:spacing w:after="0"/>
        <w:ind w:left="992"/>
        <w:jc w:val="both"/>
      </w:pPr>
    </w:p>
    <w:p w:rsidR="00CB373D" w:rsidRDefault="00CB373D" w:rsidP="00831402">
      <w:pPr>
        <w:pStyle w:val="ListNumber"/>
        <w:numPr>
          <w:ilvl w:val="0"/>
          <w:numId w:val="20"/>
        </w:numPr>
        <w:spacing w:after="0"/>
        <w:jc w:val="both"/>
      </w:pPr>
      <w:r>
        <w:t xml:space="preserve">The Panel must also act appropriately with regard to the European Convention for the Protection of Human Rights and Fundamental Freedoms implemented under the Human Rights Act 1998, particularly articles 6 (relating to the right to a fair trial); article 8 (protection of private and family life); and article 1 of the First Protocol (protection of property).    </w:t>
      </w:r>
    </w:p>
    <w:p w:rsidR="00CB373D" w:rsidRDefault="00CB373D" w:rsidP="00831402">
      <w:pPr>
        <w:pStyle w:val="ListNumber"/>
        <w:numPr>
          <w:ilvl w:val="0"/>
          <w:numId w:val="0"/>
        </w:numPr>
        <w:spacing w:after="0"/>
        <w:ind w:left="-561"/>
        <w:jc w:val="both"/>
      </w:pPr>
    </w:p>
    <w:p w:rsidR="00CB373D" w:rsidRDefault="00CB373D" w:rsidP="00831402">
      <w:pPr>
        <w:pStyle w:val="ListNumber"/>
        <w:numPr>
          <w:ilvl w:val="0"/>
          <w:numId w:val="20"/>
        </w:numPr>
        <w:spacing w:after="0"/>
        <w:jc w:val="both"/>
      </w:pPr>
      <w:bookmarkStart w:id="0" w:name="LastEdit"/>
      <w:bookmarkEnd w:id="0"/>
      <w:r>
        <w:t>The Panel, when exercising its powers, must consider section 17 of the Crime and Disorder Act 1998 which states:</w:t>
      </w:r>
    </w:p>
    <w:p w:rsidR="00CB373D" w:rsidRDefault="00CB373D" w:rsidP="00831402">
      <w:pPr>
        <w:tabs>
          <w:tab w:val="left" w:pos="426"/>
        </w:tabs>
        <w:ind w:left="567" w:right="142"/>
        <w:jc w:val="both"/>
      </w:pPr>
    </w:p>
    <w:p w:rsidR="00CB373D" w:rsidRDefault="00CB373D" w:rsidP="001B484F">
      <w:pPr>
        <w:pStyle w:val="ListParagraph"/>
        <w:ind w:left="360" w:right="-55"/>
        <w:jc w:val="both"/>
      </w:pPr>
      <w:r>
        <w:t>‘</w:t>
      </w:r>
      <w:r w:rsidRPr="001B484F">
        <w:rPr>
          <w:i/>
        </w:rPr>
        <w:t>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w:t>
      </w:r>
      <w:r>
        <w:t>’</w:t>
      </w:r>
    </w:p>
    <w:p w:rsidR="001B484F" w:rsidRDefault="001B484F" w:rsidP="001B484F">
      <w:pPr>
        <w:pStyle w:val="ListParagraph"/>
        <w:ind w:left="360" w:right="1238"/>
        <w:jc w:val="both"/>
      </w:pPr>
    </w:p>
    <w:p w:rsidR="001B484F" w:rsidRDefault="001B484F" w:rsidP="001B484F">
      <w:pPr>
        <w:pStyle w:val="ListParagraph"/>
        <w:numPr>
          <w:ilvl w:val="0"/>
          <w:numId w:val="20"/>
        </w:numPr>
        <w:ind w:right="-55"/>
        <w:jc w:val="both"/>
      </w:pPr>
      <w:r>
        <w:t xml:space="preserve">Full copies of the Council’s statement of licencing policy, hearing procedure and statutory guidance to the Act will be available at the Panel Hearing or in advance if so required. </w:t>
      </w:r>
    </w:p>
    <w:p w:rsidR="00CB373D" w:rsidRDefault="00CB373D" w:rsidP="00E67102">
      <w:pPr>
        <w:tabs>
          <w:tab w:val="left" w:pos="426"/>
        </w:tabs>
        <w:ind w:left="567" w:right="142"/>
        <w:jc w:val="both"/>
      </w:pPr>
    </w:p>
    <w:p w:rsidR="00CB373D" w:rsidRPr="006E76A2" w:rsidRDefault="00CB373D" w:rsidP="00592D8C">
      <w:pPr>
        <w:pStyle w:val="Heading2"/>
        <w:tabs>
          <w:tab w:val="left" w:pos="426"/>
        </w:tabs>
        <w:rPr>
          <w:i/>
        </w:rPr>
      </w:pPr>
      <w:r w:rsidRPr="006E76A2">
        <w:rPr>
          <w:i/>
        </w:rPr>
        <w:t>Financial Implications</w:t>
      </w:r>
    </w:p>
    <w:p w:rsidR="00CB373D" w:rsidRDefault="00CB373D" w:rsidP="00E67102">
      <w:pPr>
        <w:tabs>
          <w:tab w:val="left" w:pos="426"/>
        </w:tabs>
        <w:ind w:left="567" w:right="142"/>
        <w:jc w:val="both"/>
      </w:pPr>
    </w:p>
    <w:p w:rsidR="00CB373D" w:rsidRDefault="00CB373D" w:rsidP="00351EC8">
      <w:pPr>
        <w:pStyle w:val="ListParagraph"/>
        <w:numPr>
          <w:ilvl w:val="0"/>
          <w:numId w:val="20"/>
        </w:numPr>
        <w:ind w:right="142"/>
        <w:jc w:val="both"/>
      </w:pPr>
      <w:r w:rsidRPr="006E76A2">
        <w:t xml:space="preserve">There are no financial implications. </w:t>
      </w:r>
    </w:p>
    <w:p w:rsidR="00351EC8" w:rsidRPr="00351EC8" w:rsidRDefault="00351EC8" w:rsidP="00351EC8">
      <w:pPr>
        <w:pStyle w:val="ListParagraph"/>
        <w:ind w:left="360" w:right="142"/>
        <w:jc w:val="both"/>
      </w:pPr>
    </w:p>
    <w:p w:rsidR="00CB373D" w:rsidRPr="00ED48FF" w:rsidRDefault="00CB373D" w:rsidP="00592D8C">
      <w:pPr>
        <w:pStyle w:val="Heading2"/>
        <w:tabs>
          <w:tab w:val="left" w:pos="426"/>
        </w:tabs>
        <w:rPr>
          <w:i/>
        </w:rPr>
      </w:pPr>
      <w:r w:rsidRPr="00ED48FF">
        <w:rPr>
          <w:i/>
        </w:rPr>
        <w:t>Appeals</w:t>
      </w:r>
    </w:p>
    <w:p w:rsidR="00CB373D" w:rsidRDefault="00CB373D" w:rsidP="00E67102">
      <w:pPr>
        <w:tabs>
          <w:tab w:val="left" w:pos="426"/>
        </w:tabs>
        <w:ind w:right="142"/>
        <w:jc w:val="both"/>
      </w:pPr>
    </w:p>
    <w:p w:rsidR="00911565" w:rsidRDefault="00CB373D" w:rsidP="001B484F">
      <w:pPr>
        <w:pStyle w:val="ListParagraph"/>
        <w:numPr>
          <w:ilvl w:val="0"/>
          <w:numId w:val="20"/>
        </w:numPr>
        <w:tabs>
          <w:tab w:val="left" w:pos="426"/>
        </w:tabs>
        <w:ind w:right="142"/>
        <w:jc w:val="both"/>
      </w:pPr>
      <w:r w:rsidRPr="006E76A2">
        <w:t>If any party is aggrieved with the decision of the licensing panel on</w:t>
      </w:r>
      <w:r>
        <w:t xml:space="preserve"> one of the grounds set out in s</w:t>
      </w:r>
      <w:r w:rsidRPr="006E76A2">
        <w:t xml:space="preserve">chedule 5 to the </w:t>
      </w:r>
      <w:r w:rsidR="001B484F">
        <w:t>Act</w:t>
      </w:r>
      <w:r>
        <w:t>, they can appeal to a M</w:t>
      </w:r>
      <w:r w:rsidRPr="006E76A2">
        <w:t xml:space="preserve">agistrates’ </w:t>
      </w:r>
      <w:r>
        <w:t>Court within 2</w:t>
      </w:r>
      <w:r w:rsidRPr="006E76A2">
        <w:t xml:space="preserve">1 days from notification of the decision. </w:t>
      </w:r>
    </w:p>
    <w:p w:rsidR="00F60B65" w:rsidRDefault="00F60B65">
      <w:pPr>
        <w:rPr>
          <w:rFonts w:cs="Arial"/>
          <w:szCs w:val="24"/>
        </w:rPr>
      </w:pPr>
      <w:r>
        <w:br w:type="page"/>
      </w:r>
    </w:p>
    <w:p w:rsidR="001B484F" w:rsidRDefault="001B484F" w:rsidP="001B484F">
      <w:pPr>
        <w:pStyle w:val="ListParagraph"/>
        <w:tabs>
          <w:tab w:val="left" w:pos="426"/>
        </w:tabs>
        <w:ind w:left="360" w:right="142"/>
        <w:jc w:val="both"/>
      </w:pPr>
    </w:p>
    <w:p w:rsidR="006A233E" w:rsidRDefault="006A233E" w:rsidP="001075CF">
      <w:pPr>
        <w:pStyle w:val="Heading1"/>
        <w:keepNext/>
      </w:pPr>
      <w:r>
        <w:t>Section 3 - Statutory Officer Clearance</w:t>
      </w:r>
    </w:p>
    <w:p w:rsidR="006A233E" w:rsidRDefault="006A233E" w:rsidP="001075CF">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0C6F5C">
            <w:pPr>
              <w:pStyle w:val="Infotext"/>
            </w:pPr>
            <w:r>
              <w:t>on behalf of the</w:t>
            </w:r>
          </w:p>
        </w:tc>
      </w:tr>
      <w:tr w:rsidR="006A233E">
        <w:tc>
          <w:tcPr>
            <w:tcW w:w="2791" w:type="pct"/>
            <w:tcBorders>
              <w:top w:val="nil"/>
              <w:bottom w:val="nil"/>
            </w:tcBorders>
          </w:tcPr>
          <w:p w:rsidR="006A233E" w:rsidRDefault="006A233E" w:rsidP="00D22C2D">
            <w:pPr>
              <w:pStyle w:val="Infotext"/>
            </w:pPr>
            <w:r>
              <w:t>Name:</w:t>
            </w:r>
            <w:r w:rsidR="00EA1637">
              <w:t xml:space="preserve">  </w:t>
            </w:r>
            <w:r w:rsidR="00F60B65">
              <w:t>Jessie Man</w:t>
            </w:r>
          </w:p>
        </w:tc>
        <w:tc>
          <w:tcPr>
            <w:tcW w:w="138" w:type="pct"/>
            <w:tcBorders>
              <w:bottom w:val="single" w:sz="4" w:space="0" w:color="auto"/>
            </w:tcBorders>
          </w:tcPr>
          <w:p w:rsidR="006A233E" w:rsidRDefault="002A2D1B">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Chief Financial Officer</w:t>
            </w:r>
          </w:p>
        </w:tc>
      </w:tr>
      <w:tr w:rsidR="006A233E">
        <w:tc>
          <w:tcPr>
            <w:tcW w:w="2791" w:type="pct"/>
            <w:tcBorders>
              <w:top w:val="nil"/>
              <w:right w:val="nil"/>
            </w:tcBorders>
          </w:tcPr>
          <w:p w:rsidR="006A233E" w:rsidRDefault="006A233E">
            <w:pPr>
              <w:pStyle w:val="Infotext"/>
            </w:pPr>
            <w:r>
              <w:t xml:space="preserve"> </w:t>
            </w:r>
          </w:p>
          <w:p w:rsidR="006A233E" w:rsidRDefault="006A233E" w:rsidP="00047E81">
            <w:pPr>
              <w:pStyle w:val="Infotext"/>
            </w:pPr>
            <w:r>
              <w:t xml:space="preserve">Date: </w:t>
            </w:r>
            <w:r w:rsidR="00EA1637">
              <w:t xml:space="preserve"> </w:t>
            </w:r>
            <w:r w:rsidR="002A2D1B">
              <w:t>13 September 2019</w:t>
            </w:r>
          </w:p>
        </w:tc>
        <w:tc>
          <w:tcPr>
            <w:tcW w:w="138" w:type="pct"/>
            <w:tcBorders>
              <w:left w:val="nil"/>
              <w:bottom w:val="single" w:sz="4" w:space="0" w:color="auto"/>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tc>
      </w:tr>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0C6F5C">
            <w:pPr>
              <w:pStyle w:val="Infotext"/>
            </w:pPr>
            <w:r>
              <w:t>on behalf of the</w:t>
            </w:r>
          </w:p>
        </w:tc>
      </w:tr>
      <w:tr w:rsidR="006A233E">
        <w:tc>
          <w:tcPr>
            <w:tcW w:w="2791" w:type="pct"/>
            <w:tcBorders>
              <w:top w:val="nil"/>
              <w:bottom w:val="nil"/>
            </w:tcBorders>
          </w:tcPr>
          <w:p w:rsidR="006A233E" w:rsidRDefault="006A233E" w:rsidP="00047E81">
            <w:pPr>
              <w:pStyle w:val="Infotext"/>
            </w:pPr>
            <w:r>
              <w:t xml:space="preserve">Name: </w:t>
            </w:r>
            <w:r w:rsidR="00EA1637">
              <w:t xml:space="preserve"> </w:t>
            </w:r>
            <w:r w:rsidR="002A2D1B">
              <w:t>Andrew Lucas</w:t>
            </w:r>
          </w:p>
        </w:tc>
        <w:tc>
          <w:tcPr>
            <w:tcW w:w="138" w:type="pct"/>
            <w:tcBorders>
              <w:bottom w:val="single" w:sz="4" w:space="0" w:color="auto"/>
            </w:tcBorders>
          </w:tcPr>
          <w:p w:rsidR="006A233E" w:rsidRDefault="002A2D1B">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Monitoring Officer</w:t>
            </w:r>
          </w:p>
        </w:tc>
      </w:tr>
      <w:tr w:rsidR="006A233E">
        <w:tc>
          <w:tcPr>
            <w:tcW w:w="2791" w:type="pct"/>
            <w:tcBorders>
              <w:top w:val="nil"/>
              <w:right w:val="nil"/>
            </w:tcBorders>
          </w:tcPr>
          <w:p w:rsidR="006A233E" w:rsidRDefault="006A233E">
            <w:pPr>
              <w:pStyle w:val="Infotext"/>
            </w:pPr>
          </w:p>
          <w:p w:rsidR="006A233E" w:rsidRDefault="006A233E" w:rsidP="00047E81">
            <w:pPr>
              <w:pStyle w:val="Infotext"/>
            </w:pPr>
            <w:r>
              <w:t xml:space="preserve">Date: </w:t>
            </w:r>
            <w:r w:rsidR="00EA1637">
              <w:t xml:space="preserve"> </w:t>
            </w:r>
            <w:r w:rsidR="002A2D1B">
              <w:t>12 September 2019</w:t>
            </w:r>
          </w:p>
        </w:tc>
        <w:tc>
          <w:tcPr>
            <w:tcW w:w="138" w:type="pct"/>
            <w:tcBorders>
              <w:left w:val="nil"/>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p w:rsidR="006A233E" w:rsidRDefault="006A233E">
            <w:pPr>
              <w:pStyle w:val="Infotext"/>
            </w:pPr>
          </w:p>
        </w:tc>
      </w:tr>
    </w:tbl>
    <w:p w:rsidR="006A233E" w:rsidRDefault="006A233E">
      <w:pPr>
        <w:jc w:val="both"/>
        <w:rPr>
          <w:rFonts w:cs="Arial"/>
        </w:rPr>
      </w:pPr>
    </w:p>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5"/>
        <w:gridCol w:w="403"/>
        <w:gridCol w:w="234"/>
        <w:gridCol w:w="3563"/>
      </w:tblGrid>
      <w:tr w:rsidR="00B43855" w:rsidTr="003F4066">
        <w:tc>
          <w:tcPr>
            <w:tcW w:w="4752" w:type="dxa"/>
            <w:tcBorders>
              <w:bottom w:val="nil"/>
              <w:right w:val="nil"/>
            </w:tcBorders>
          </w:tcPr>
          <w:p w:rsidR="00B43855" w:rsidRDefault="00B43855" w:rsidP="003F4066">
            <w:pPr>
              <w:pStyle w:val="Infotext"/>
            </w:pPr>
          </w:p>
          <w:p w:rsidR="00B43855" w:rsidRDefault="00B43855" w:rsidP="003F4066">
            <w:pPr>
              <w:pStyle w:val="Infotext"/>
            </w:pPr>
          </w:p>
        </w:tc>
        <w:tc>
          <w:tcPr>
            <w:tcW w:w="387" w:type="dxa"/>
            <w:tcBorders>
              <w:left w:val="nil"/>
              <w:right w:val="nil"/>
            </w:tcBorders>
          </w:tcPr>
          <w:p w:rsidR="00B43855" w:rsidRDefault="00B43855" w:rsidP="003F4066">
            <w:pPr>
              <w:pStyle w:val="Infotext"/>
            </w:pPr>
          </w:p>
        </w:tc>
        <w:tc>
          <w:tcPr>
            <w:tcW w:w="236" w:type="dxa"/>
            <w:tcBorders>
              <w:left w:val="nil"/>
              <w:bottom w:val="nil"/>
              <w:right w:val="nil"/>
            </w:tcBorders>
          </w:tcPr>
          <w:p w:rsidR="00B43855" w:rsidRDefault="00B43855" w:rsidP="003F4066">
            <w:pPr>
              <w:pStyle w:val="Infotext"/>
            </w:pPr>
          </w:p>
        </w:tc>
        <w:tc>
          <w:tcPr>
            <w:tcW w:w="3890" w:type="dxa"/>
            <w:tcBorders>
              <w:left w:val="nil"/>
              <w:bottom w:val="nil"/>
            </w:tcBorders>
          </w:tcPr>
          <w:p w:rsidR="00B43855" w:rsidRDefault="00B43855" w:rsidP="003F4066">
            <w:pPr>
              <w:pStyle w:val="Infotext"/>
            </w:pPr>
          </w:p>
          <w:p w:rsidR="00B43855" w:rsidRDefault="00B43855" w:rsidP="003F4066">
            <w:pPr>
              <w:pStyle w:val="Infotext"/>
            </w:pPr>
          </w:p>
        </w:tc>
      </w:tr>
      <w:tr w:rsidR="00B43855" w:rsidTr="003F4066">
        <w:tc>
          <w:tcPr>
            <w:tcW w:w="4752" w:type="dxa"/>
            <w:tcBorders>
              <w:top w:val="nil"/>
              <w:bottom w:val="nil"/>
            </w:tcBorders>
          </w:tcPr>
          <w:p w:rsidR="00B43855" w:rsidRDefault="00B43855" w:rsidP="00D22C2D">
            <w:pPr>
              <w:pStyle w:val="Infotext"/>
            </w:pPr>
            <w:r>
              <w:t xml:space="preserve">Name: </w:t>
            </w:r>
            <w:r w:rsidR="00EA1637">
              <w:t xml:space="preserve"> </w:t>
            </w:r>
            <w:r w:rsidR="00F60B65">
              <w:t>Paul Walker</w:t>
            </w:r>
          </w:p>
        </w:tc>
        <w:tc>
          <w:tcPr>
            <w:tcW w:w="387" w:type="dxa"/>
            <w:tcBorders>
              <w:bottom w:val="single" w:sz="4" w:space="0" w:color="auto"/>
            </w:tcBorders>
          </w:tcPr>
          <w:p w:rsidR="00B43855" w:rsidRDefault="002A2D1B" w:rsidP="003F4066">
            <w:pPr>
              <w:pStyle w:val="Infotext"/>
            </w:pPr>
            <w:r>
              <w:t>X</w:t>
            </w:r>
          </w:p>
        </w:tc>
        <w:tc>
          <w:tcPr>
            <w:tcW w:w="236" w:type="dxa"/>
            <w:tcBorders>
              <w:top w:val="nil"/>
              <w:bottom w:val="nil"/>
              <w:right w:val="nil"/>
            </w:tcBorders>
          </w:tcPr>
          <w:p w:rsidR="00B43855" w:rsidRDefault="00B43855" w:rsidP="003F4066">
            <w:pPr>
              <w:pStyle w:val="Infotext"/>
            </w:pPr>
          </w:p>
        </w:tc>
        <w:tc>
          <w:tcPr>
            <w:tcW w:w="3890" w:type="dxa"/>
            <w:tcBorders>
              <w:top w:val="nil"/>
              <w:left w:val="nil"/>
              <w:bottom w:val="nil"/>
            </w:tcBorders>
          </w:tcPr>
          <w:p w:rsidR="00B43855" w:rsidRDefault="00B43855" w:rsidP="003F4066">
            <w:pPr>
              <w:pStyle w:val="Infotext"/>
            </w:pPr>
            <w:r>
              <w:t>Corporate Director</w:t>
            </w:r>
          </w:p>
        </w:tc>
      </w:tr>
      <w:tr w:rsidR="00B43855" w:rsidTr="003F4066">
        <w:tc>
          <w:tcPr>
            <w:tcW w:w="4752" w:type="dxa"/>
            <w:tcBorders>
              <w:top w:val="nil"/>
              <w:right w:val="nil"/>
            </w:tcBorders>
          </w:tcPr>
          <w:p w:rsidR="00B43855" w:rsidRDefault="00B43855" w:rsidP="003F4066">
            <w:pPr>
              <w:pStyle w:val="Infotext"/>
            </w:pPr>
            <w:r>
              <w:t xml:space="preserve"> </w:t>
            </w:r>
          </w:p>
          <w:p w:rsidR="00B43855" w:rsidRDefault="00B43855" w:rsidP="00047E81">
            <w:pPr>
              <w:pStyle w:val="Infotext"/>
            </w:pPr>
            <w:r>
              <w:t xml:space="preserve">Date: </w:t>
            </w:r>
            <w:r w:rsidR="00EA1637">
              <w:t xml:space="preserve"> </w:t>
            </w:r>
            <w:r w:rsidR="002A2D1B">
              <w:t>12 September 2019</w:t>
            </w:r>
          </w:p>
        </w:tc>
        <w:tc>
          <w:tcPr>
            <w:tcW w:w="387" w:type="dxa"/>
            <w:tcBorders>
              <w:left w:val="nil"/>
              <w:bottom w:val="single" w:sz="4" w:space="0" w:color="auto"/>
              <w:right w:val="nil"/>
            </w:tcBorders>
          </w:tcPr>
          <w:p w:rsidR="00B43855" w:rsidRDefault="00B43855" w:rsidP="003F4066">
            <w:pPr>
              <w:pStyle w:val="Infotext"/>
            </w:pPr>
          </w:p>
        </w:tc>
        <w:tc>
          <w:tcPr>
            <w:tcW w:w="236" w:type="dxa"/>
            <w:tcBorders>
              <w:top w:val="nil"/>
              <w:left w:val="nil"/>
              <w:right w:val="nil"/>
            </w:tcBorders>
          </w:tcPr>
          <w:p w:rsidR="00B43855" w:rsidRDefault="00B43855" w:rsidP="003F4066">
            <w:pPr>
              <w:pStyle w:val="Infotext"/>
            </w:pPr>
          </w:p>
        </w:tc>
        <w:tc>
          <w:tcPr>
            <w:tcW w:w="3890" w:type="dxa"/>
            <w:tcBorders>
              <w:top w:val="nil"/>
              <w:left w:val="nil"/>
            </w:tcBorders>
          </w:tcPr>
          <w:p w:rsidR="00B43855" w:rsidRDefault="00B43855" w:rsidP="003F4066">
            <w:pPr>
              <w:pStyle w:val="Infotext"/>
            </w:pPr>
          </w:p>
        </w:tc>
      </w:tr>
    </w:tbl>
    <w:p w:rsidR="00B43855" w:rsidRDefault="00B43855"/>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52B2">
        <w:trPr>
          <w:trHeight w:val="965"/>
        </w:trPr>
        <w:tc>
          <w:tcPr>
            <w:tcW w:w="3025" w:type="pct"/>
            <w:tcBorders>
              <w:right w:val="nil"/>
            </w:tcBorders>
          </w:tcPr>
          <w:p w:rsidR="008652B2" w:rsidRDefault="008652B2" w:rsidP="00830B1F">
            <w:pPr>
              <w:pStyle w:val="Infotext"/>
              <w:rPr>
                <w:rFonts w:ascii="Arial Black" w:hAnsi="Arial Black"/>
              </w:rPr>
            </w:pPr>
          </w:p>
          <w:p w:rsidR="008652B2" w:rsidRDefault="008652B2" w:rsidP="00830B1F">
            <w:pPr>
              <w:pStyle w:val="Infotext"/>
              <w:rPr>
                <w:rFonts w:ascii="Arial Black" w:hAnsi="Arial Black"/>
              </w:rPr>
            </w:pPr>
            <w:r>
              <w:rPr>
                <w:rFonts w:ascii="Arial Black" w:hAnsi="Arial Black"/>
              </w:rPr>
              <w:t>Ward Councillors notified:</w:t>
            </w:r>
          </w:p>
          <w:p w:rsidR="008652B2" w:rsidRPr="00587AB5" w:rsidRDefault="008652B2" w:rsidP="00830B1F">
            <w:pPr>
              <w:pStyle w:val="Infotext"/>
              <w:rPr>
                <w:b/>
                <w:color w:val="FF0000"/>
              </w:rPr>
            </w:pPr>
          </w:p>
        </w:tc>
        <w:tc>
          <w:tcPr>
            <w:tcW w:w="1975" w:type="pct"/>
            <w:tcBorders>
              <w:left w:val="nil"/>
            </w:tcBorders>
          </w:tcPr>
          <w:p w:rsidR="008652B2" w:rsidRDefault="008652B2" w:rsidP="00830B1F">
            <w:pPr>
              <w:pStyle w:val="Infotext"/>
            </w:pPr>
          </w:p>
          <w:p w:rsidR="008652B2" w:rsidRPr="00A406F3" w:rsidRDefault="00D22C2D" w:rsidP="00830B1F">
            <w:pPr>
              <w:pStyle w:val="Infotext"/>
              <w:spacing w:before="120"/>
              <w:rPr>
                <w:b/>
              </w:rPr>
            </w:pPr>
            <w:r>
              <w:rPr>
                <w:b/>
              </w:rPr>
              <w:t>Yes</w:t>
            </w:r>
            <w:r w:rsidR="008652B2" w:rsidRPr="00A406F3">
              <w:rPr>
                <w:b/>
              </w:rPr>
              <w:t xml:space="preserve"> </w:t>
            </w:r>
          </w:p>
          <w:p w:rsidR="008652B2" w:rsidRPr="003D78F6" w:rsidRDefault="008652B2" w:rsidP="00A47339">
            <w:pPr>
              <w:pStyle w:val="Infotext"/>
              <w:rPr>
                <w:i/>
                <w:sz w:val="24"/>
                <w:szCs w:val="24"/>
              </w:rPr>
            </w:pPr>
          </w:p>
        </w:tc>
      </w:tr>
    </w:tbl>
    <w:p w:rsidR="008652B2" w:rsidRDefault="008652B2"/>
    <w:p w:rsidR="008652B2" w:rsidRDefault="008652B2"/>
    <w:p w:rsidR="006A233E" w:rsidRDefault="006A233E" w:rsidP="001075CF">
      <w:pPr>
        <w:pStyle w:val="Heading1"/>
        <w:keepNext/>
      </w:pPr>
      <w:r>
        <w:t>Section 4 - Contact Details and Background Papers</w:t>
      </w:r>
    </w:p>
    <w:p w:rsidR="006A233E" w:rsidRDefault="006A233E" w:rsidP="001075CF">
      <w:pPr>
        <w:keepNext/>
        <w:rPr>
          <w:rFonts w:cs="Arial"/>
        </w:rPr>
      </w:pPr>
    </w:p>
    <w:p w:rsidR="006A233E" w:rsidRDefault="006A233E" w:rsidP="001075CF">
      <w:pPr>
        <w:keepNext/>
      </w:pPr>
    </w:p>
    <w:p w:rsidR="00CB373D" w:rsidRPr="006E76A2" w:rsidRDefault="006A233E" w:rsidP="00CB373D">
      <w:pPr>
        <w:jc w:val="both"/>
        <w:rPr>
          <w:iCs/>
        </w:rPr>
      </w:pPr>
      <w:r w:rsidRPr="007563D9">
        <w:rPr>
          <w:b/>
        </w:rPr>
        <w:t>Contact:</w:t>
      </w:r>
      <w:r>
        <w:t xml:space="preserve"> </w:t>
      </w:r>
      <w:r w:rsidR="00CB373D">
        <w:t>Richard Le-</w:t>
      </w:r>
      <w:proofErr w:type="spellStart"/>
      <w:r w:rsidR="00CB373D">
        <w:t>Brun</w:t>
      </w:r>
      <w:proofErr w:type="spellEnd"/>
      <w:r w:rsidR="00CB373D">
        <w:t>, Head of Community and Public Protection, Ext. 6267</w:t>
      </w:r>
    </w:p>
    <w:p w:rsidR="006A233E" w:rsidRDefault="006A233E">
      <w:pPr>
        <w:pStyle w:val="Infotext"/>
      </w:pPr>
    </w:p>
    <w:p w:rsidR="006A233E" w:rsidRDefault="006A233E"/>
    <w:p w:rsidR="006A233E" w:rsidRDefault="006A233E" w:rsidP="00E56EC8">
      <w:pPr>
        <w:pStyle w:val="Infotext"/>
      </w:pPr>
      <w:r w:rsidRPr="007563D9">
        <w:rPr>
          <w:b/>
        </w:rPr>
        <w:t>Background Papers:</w:t>
      </w:r>
      <w:r>
        <w:t xml:space="preserve">  </w:t>
      </w:r>
    </w:p>
    <w:p w:rsidR="00CB373D" w:rsidRDefault="00CB373D" w:rsidP="00E56EC8">
      <w:pPr>
        <w:pStyle w:val="Infotext"/>
        <w:rPr>
          <w:sz w:val="24"/>
          <w:szCs w:val="24"/>
        </w:rPr>
      </w:pPr>
      <w:r>
        <w:rPr>
          <w:sz w:val="24"/>
          <w:szCs w:val="24"/>
        </w:rPr>
        <w:t>Revised guidance issued under section 182 of the Licensing Act 2003 (April 2018)</w:t>
      </w:r>
    </w:p>
    <w:p w:rsidR="00CB373D" w:rsidRDefault="000C6F5C" w:rsidP="00E56EC8">
      <w:pPr>
        <w:pStyle w:val="Infotext"/>
        <w:rPr>
          <w:sz w:val="24"/>
          <w:szCs w:val="24"/>
        </w:rPr>
      </w:pPr>
      <w:hyperlink r:id="rId10" w:history="1">
        <w:r w:rsidRPr="002200E9">
          <w:rPr>
            <w:rStyle w:val="Hyperlink"/>
            <w:sz w:val="24"/>
            <w:szCs w:val="24"/>
          </w:rPr>
          <w:t>https://www.gov.uk/government/publications/explanatory-memorandum-revised-guidance-issued-under-s-182-of-licensing-act-2003</w:t>
        </w:r>
      </w:hyperlink>
    </w:p>
    <w:p w:rsidR="000C6F5C" w:rsidRDefault="000C6F5C" w:rsidP="00E56EC8">
      <w:pPr>
        <w:pStyle w:val="Infotext"/>
        <w:rPr>
          <w:sz w:val="24"/>
          <w:szCs w:val="24"/>
        </w:rPr>
      </w:pPr>
      <w:bookmarkStart w:id="1" w:name="_GoBack"/>
      <w:bookmarkEnd w:id="1"/>
    </w:p>
    <w:p w:rsidR="00CB373D" w:rsidRDefault="00CB373D" w:rsidP="00E56EC8">
      <w:pPr>
        <w:pStyle w:val="Infotext"/>
      </w:pPr>
    </w:p>
    <w:p w:rsidR="00E56EC8" w:rsidRDefault="00E56EC8" w:rsidP="00E56EC8">
      <w:pPr>
        <w:pStyle w:val="Infotext"/>
      </w:pPr>
    </w:p>
    <w:sectPr w:rsidR="00E56EC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8" w:rsidRDefault="00C24C28">
      <w:r>
        <w:separator/>
      </w:r>
    </w:p>
  </w:endnote>
  <w:endnote w:type="continuationSeparator" w:id="0">
    <w:p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8" w:rsidRDefault="00C24C28">
      <w:r>
        <w:separator/>
      </w:r>
    </w:p>
  </w:footnote>
  <w:footnote w:type="continuationSeparator" w:id="0">
    <w:p w:rsidR="00C24C28" w:rsidRDefault="00C2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55889"/>
    <w:multiLevelType w:val="hybridMultilevel"/>
    <w:tmpl w:val="8A069B8C"/>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2">
    <w:nsid w:val="09D7289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F03D1"/>
    <w:multiLevelType w:val="hybridMultilevel"/>
    <w:tmpl w:val="1E8081E8"/>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5">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0B85F4A"/>
    <w:multiLevelType w:val="hybridMultilevel"/>
    <w:tmpl w:val="CE006C3C"/>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nsid w:val="23732F18"/>
    <w:multiLevelType w:val="hybridMultilevel"/>
    <w:tmpl w:val="0C8A742A"/>
    <w:lvl w:ilvl="0" w:tplc="6F92BF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E42D29"/>
    <w:multiLevelType w:val="hybridMultilevel"/>
    <w:tmpl w:val="9702C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DDC1A7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600C6E"/>
    <w:multiLevelType w:val="hybridMultilevel"/>
    <w:tmpl w:val="34029D02"/>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2">
    <w:nsid w:val="42464222"/>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B31EE6"/>
    <w:multiLevelType w:val="multilevel"/>
    <w:tmpl w:val="464C2334"/>
    <w:lvl w:ilvl="0">
      <w:start w:val="1"/>
      <w:numFmt w:val="lowerLetter"/>
      <w:lvlText w:val="%1)"/>
      <w:lvlJc w:val="left"/>
      <w:pPr>
        <w:tabs>
          <w:tab w:val="num" w:pos="720"/>
        </w:tabs>
        <w:ind w:left="72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455EFD"/>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E6D58AC"/>
    <w:multiLevelType w:val="hybridMultilevel"/>
    <w:tmpl w:val="C70490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FF053A"/>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B014419"/>
    <w:multiLevelType w:val="multilevel"/>
    <w:tmpl w:val="48AC7C4A"/>
    <w:lvl w:ilvl="0">
      <w:start w:val="1"/>
      <w:numFmt w:val="bullet"/>
      <w:lvlText w:val=""/>
      <w:lvlJc w:val="left"/>
      <w:pPr>
        <w:tabs>
          <w:tab w:val="num" w:pos="720"/>
        </w:tabs>
        <w:ind w:left="720" w:hanging="360"/>
      </w:pPr>
      <w:rPr>
        <w:rFonts w:ascii="Symbol" w:hAnsi="Symbol"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6B777144"/>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3A4BCA"/>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4B58C1"/>
    <w:multiLevelType w:val="multilevel"/>
    <w:tmpl w:val="48AC7C4A"/>
    <w:lvl w:ilvl="0">
      <w:start w:val="1"/>
      <w:numFmt w:val="bullet"/>
      <w:lvlText w:val=""/>
      <w:lvlJc w:val="left"/>
      <w:pPr>
        <w:tabs>
          <w:tab w:val="num" w:pos="720"/>
        </w:tabs>
        <w:ind w:left="720" w:hanging="360"/>
      </w:pPr>
      <w:rPr>
        <w:rFonts w:ascii="Symbol" w:hAnsi="Symbol"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4">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4"/>
  </w:num>
  <w:num w:numId="3">
    <w:abstractNumId w:val="0"/>
  </w:num>
  <w:num w:numId="4">
    <w:abstractNumId w:val="3"/>
  </w:num>
  <w:num w:numId="5">
    <w:abstractNumId w:val="24"/>
  </w:num>
  <w:num w:numId="6">
    <w:abstractNumId w:val="16"/>
  </w:num>
  <w:num w:numId="7">
    <w:abstractNumId w:val="8"/>
  </w:num>
  <w:num w:numId="8">
    <w:abstractNumId w:val="5"/>
  </w:num>
  <w:num w:numId="9">
    <w:abstractNumId w:val="1"/>
  </w:num>
  <w:num w:numId="10">
    <w:abstractNumId w:val="21"/>
  </w:num>
  <w:num w:numId="11">
    <w:abstractNumId w:val="4"/>
  </w:num>
  <w:num w:numId="12">
    <w:abstractNumId w:val="10"/>
  </w:num>
  <w:num w:numId="13">
    <w:abstractNumId w:val="11"/>
  </w:num>
  <w:num w:numId="14">
    <w:abstractNumId w:val="6"/>
  </w:num>
  <w:num w:numId="15">
    <w:abstractNumId w:val="22"/>
  </w:num>
  <w:num w:numId="16">
    <w:abstractNumId w:val="15"/>
  </w:num>
  <w:num w:numId="17">
    <w:abstractNumId w:val="19"/>
  </w:num>
  <w:num w:numId="18">
    <w:abstractNumId w:val="12"/>
  </w:num>
  <w:num w:numId="19">
    <w:abstractNumId w:val="7"/>
  </w:num>
  <w:num w:numId="20">
    <w:abstractNumId w:val="2"/>
  </w:num>
  <w:num w:numId="21">
    <w:abstractNumId w:val="23"/>
  </w:num>
  <w:num w:numId="22">
    <w:abstractNumId w:val="20"/>
  </w:num>
  <w:num w:numId="23">
    <w:abstractNumId w:val="13"/>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55"/>
    <w:rsid w:val="0002728A"/>
    <w:rsid w:val="00034B71"/>
    <w:rsid w:val="00047E81"/>
    <w:rsid w:val="000731BC"/>
    <w:rsid w:val="000A55A6"/>
    <w:rsid w:val="000C6F5C"/>
    <w:rsid w:val="000C7C66"/>
    <w:rsid w:val="001024BB"/>
    <w:rsid w:val="001075CF"/>
    <w:rsid w:val="00111C79"/>
    <w:rsid w:val="00114877"/>
    <w:rsid w:val="00124759"/>
    <w:rsid w:val="00167D9B"/>
    <w:rsid w:val="001B484F"/>
    <w:rsid w:val="001B6D6E"/>
    <w:rsid w:val="0022414C"/>
    <w:rsid w:val="00297D54"/>
    <w:rsid w:val="002A2D1B"/>
    <w:rsid w:val="002C0FCA"/>
    <w:rsid w:val="002D4B55"/>
    <w:rsid w:val="002F3847"/>
    <w:rsid w:val="00335462"/>
    <w:rsid w:val="00351EC8"/>
    <w:rsid w:val="00395001"/>
    <w:rsid w:val="003A15A7"/>
    <w:rsid w:val="003A253A"/>
    <w:rsid w:val="003C1DA8"/>
    <w:rsid w:val="003F1FA3"/>
    <w:rsid w:val="00401CEE"/>
    <w:rsid w:val="004572EA"/>
    <w:rsid w:val="004606D1"/>
    <w:rsid w:val="00465254"/>
    <w:rsid w:val="004864FA"/>
    <w:rsid w:val="004A707B"/>
    <w:rsid w:val="004B7FC0"/>
    <w:rsid w:val="00552B11"/>
    <w:rsid w:val="00587AB5"/>
    <w:rsid w:val="00592D8C"/>
    <w:rsid w:val="005B4552"/>
    <w:rsid w:val="00601BE5"/>
    <w:rsid w:val="00611133"/>
    <w:rsid w:val="00625D40"/>
    <w:rsid w:val="0066641B"/>
    <w:rsid w:val="006A233E"/>
    <w:rsid w:val="006A3B0F"/>
    <w:rsid w:val="00716981"/>
    <w:rsid w:val="007375C9"/>
    <w:rsid w:val="007563D9"/>
    <w:rsid w:val="00757708"/>
    <w:rsid w:val="007959D0"/>
    <w:rsid w:val="007C71D1"/>
    <w:rsid w:val="007D2AB0"/>
    <w:rsid w:val="00800679"/>
    <w:rsid w:val="008023B3"/>
    <w:rsid w:val="00817B28"/>
    <w:rsid w:val="00830B1F"/>
    <w:rsid w:val="00831402"/>
    <w:rsid w:val="00832CC0"/>
    <w:rsid w:val="008652B2"/>
    <w:rsid w:val="008B3AB0"/>
    <w:rsid w:val="008B4E8D"/>
    <w:rsid w:val="008C45A2"/>
    <w:rsid w:val="008F0C6A"/>
    <w:rsid w:val="00906C40"/>
    <w:rsid w:val="00911565"/>
    <w:rsid w:val="009264CB"/>
    <w:rsid w:val="009462B7"/>
    <w:rsid w:val="00A2249B"/>
    <w:rsid w:val="00A4380F"/>
    <w:rsid w:val="00A47339"/>
    <w:rsid w:val="00A70699"/>
    <w:rsid w:val="00A818E8"/>
    <w:rsid w:val="00AB72E0"/>
    <w:rsid w:val="00AC4D33"/>
    <w:rsid w:val="00B34A66"/>
    <w:rsid w:val="00B3504B"/>
    <w:rsid w:val="00B43855"/>
    <w:rsid w:val="00B47140"/>
    <w:rsid w:val="00B502D9"/>
    <w:rsid w:val="00C24C28"/>
    <w:rsid w:val="00C64866"/>
    <w:rsid w:val="00CB373D"/>
    <w:rsid w:val="00CE40D1"/>
    <w:rsid w:val="00D22C2D"/>
    <w:rsid w:val="00D735E1"/>
    <w:rsid w:val="00DA0EF8"/>
    <w:rsid w:val="00DA1035"/>
    <w:rsid w:val="00DC4766"/>
    <w:rsid w:val="00DF6EF3"/>
    <w:rsid w:val="00E16E20"/>
    <w:rsid w:val="00E34B6E"/>
    <w:rsid w:val="00E3655D"/>
    <w:rsid w:val="00E56EC8"/>
    <w:rsid w:val="00E67102"/>
    <w:rsid w:val="00E761C3"/>
    <w:rsid w:val="00E82E92"/>
    <w:rsid w:val="00EA1637"/>
    <w:rsid w:val="00ED7249"/>
    <w:rsid w:val="00EE1D64"/>
    <w:rsid w:val="00EF10B5"/>
    <w:rsid w:val="00F04F21"/>
    <w:rsid w:val="00F41AC3"/>
    <w:rsid w:val="00F54671"/>
    <w:rsid w:val="00F60B65"/>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0C6F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0C6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7873">
      <w:bodyDiv w:val="1"/>
      <w:marLeft w:val="0"/>
      <w:marRight w:val="0"/>
      <w:marTop w:val="0"/>
      <w:marBottom w:val="0"/>
      <w:divBdr>
        <w:top w:val="none" w:sz="0" w:space="0" w:color="auto"/>
        <w:left w:val="none" w:sz="0" w:space="0" w:color="auto"/>
        <w:bottom w:val="none" w:sz="0" w:space="0" w:color="auto"/>
        <w:right w:val="none" w:sz="0" w:space="0" w:color="auto"/>
      </w:divBdr>
    </w:div>
    <w:div w:id="15390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publications/explanatory-memorandum-revised-guidance-issued-under-s-182-of-licensing-act-200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D6FE-ADAE-4BAD-8B4A-0D045B1C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1447</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Daksha Ghelani</cp:lastModifiedBy>
  <cp:revision>9</cp:revision>
  <cp:lastPrinted>2019-05-29T11:19:00Z</cp:lastPrinted>
  <dcterms:created xsi:type="dcterms:W3CDTF">2019-05-29T13:28:00Z</dcterms:created>
  <dcterms:modified xsi:type="dcterms:W3CDTF">2019-09-13T14:15:00Z</dcterms:modified>
</cp:coreProperties>
</file>